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1412" w14:textId="77777777" w:rsidR="009058BB" w:rsidRDefault="009058BB" w:rsidP="009058BB">
      <w:bookmarkStart w:id="0" w:name="_GoBack"/>
      <w:bookmarkEnd w:id="0"/>
      <w:r>
        <w:rPr>
          <w:noProof/>
        </w:rPr>
        <w:drawing>
          <wp:inline distT="0" distB="0" distL="0" distR="0" wp14:anchorId="6A779CC0" wp14:editId="09C54F30">
            <wp:extent cx="580263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2630" cy="1019175"/>
                    </a:xfrm>
                    <a:prstGeom prst="rect">
                      <a:avLst/>
                    </a:prstGeom>
                    <a:noFill/>
                  </pic:spPr>
                </pic:pic>
              </a:graphicData>
            </a:graphic>
          </wp:inline>
        </w:drawing>
      </w:r>
    </w:p>
    <w:p w14:paraId="1523B5DB" w14:textId="77777777" w:rsidR="00A622B6" w:rsidRDefault="009058BB" w:rsidP="009058BB">
      <w:pPr>
        <w:pStyle w:val="NoSpacing"/>
        <w:jc w:val="center"/>
        <w:rPr>
          <w:rFonts w:cstheme="minorHAnsi"/>
          <w:b/>
          <w:sz w:val="24"/>
          <w:szCs w:val="24"/>
        </w:rPr>
      </w:pPr>
      <w:r w:rsidRPr="00E16F27">
        <w:rPr>
          <w:rFonts w:cstheme="minorHAnsi"/>
          <w:b/>
          <w:sz w:val="24"/>
          <w:szCs w:val="24"/>
        </w:rPr>
        <w:t xml:space="preserve">STATEMENT OF THE AMERICAN ASSOCIATION FOR ACCESS, EQUITY AND DIVERSITY </w:t>
      </w:r>
    </w:p>
    <w:p w14:paraId="160458B2" w14:textId="4AC2E3B9" w:rsidR="00A622B6" w:rsidRDefault="00A622B6" w:rsidP="009058BB">
      <w:pPr>
        <w:pStyle w:val="NoSpacing"/>
        <w:jc w:val="center"/>
        <w:rPr>
          <w:rFonts w:cstheme="minorHAnsi"/>
          <w:b/>
          <w:sz w:val="24"/>
          <w:szCs w:val="24"/>
        </w:rPr>
      </w:pPr>
      <w:r>
        <w:rPr>
          <w:rFonts w:cstheme="minorHAnsi"/>
          <w:b/>
          <w:sz w:val="24"/>
          <w:szCs w:val="24"/>
        </w:rPr>
        <w:t>O</w:t>
      </w:r>
      <w:r w:rsidR="009058BB" w:rsidRPr="00E16F27">
        <w:rPr>
          <w:rFonts w:cstheme="minorHAnsi"/>
          <w:b/>
          <w:sz w:val="24"/>
          <w:szCs w:val="24"/>
        </w:rPr>
        <w:t xml:space="preserve">N </w:t>
      </w:r>
      <w:r>
        <w:rPr>
          <w:rFonts w:cstheme="minorHAnsi"/>
          <w:b/>
          <w:sz w:val="24"/>
          <w:szCs w:val="24"/>
        </w:rPr>
        <w:t xml:space="preserve">THE NOMINATION OF JUDGE BRETT </w:t>
      </w:r>
      <w:r w:rsidR="00BD4221">
        <w:rPr>
          <w:rFonts w:cstheme="minorHAnsi"/>
          <w:b/>
          <w:sz w:val="24"/>
          <w:szCs w:val="24"/>
        </w:rPr>
        <w:t xml:space="preserve">M. </w:t>
      </w:r>
      <w:r>
        <w:rPr>
          <w:rFonts w:cstheme="minorHAnsi"/>
          <w:b/>
          <w:sz w:val="24"/>
          <w:szCs w:val="24"/>
        </w:rPr>
        <w:t xml:space="preserve">KAVANAUGH </w:t>
      </w:r>
      <w:r w:rsidR="009058BB" w:rsidRPr="00E16F27">
        <w:rPr>
          <w:rFonts w:cstheme="minorHAnsi"/>
          <w:b/>
          <w:sz w:val="24"/>
          <w:szCs w:val="24"/>
        </w:rPr>
        <w:t xml:space="preserve">TO THE </w:t>
      </w:r>
      <w:r>
        <w:rPr>
          <w:rFonts w:cstheme="minorHAnsi"/>
          <w:b/>
          <w:sz w:val="24"/>
          <w:szCs w:val="24"/>
        </w:rPr>
        <w:t xml:space="preserve"> </w:t>
      </w:r>
    </w:p>
    <w:p w14:paraId="3FCB58BD" w14:textId="77777777" w:rsidR="00DD0AD3" w:rsidRPr="00E16F27" w:rsidRDefault="009058BB" w:rsidP="009058BB">
      <w:pPr>
        <w:pStyle w:val="NoSpacing"/>
        <w:jc w:val="center"/>
        <w:rPr>
          <w:rFonts w:cstheme="minorHAnsi"/>
          <w:b/>
          <w:sz w:val="24"/>
          <w:szCs w:val="24"/>
        </w:rPr>
      </w:pPr>
      <w:r w:rsidRPr="00E16F27">
        <w:rPr>
          <w:rFonts w:cstheme="minorHAnsi"/>
          <w:b/>
          <w:sz w:val="24"/>
          <w:szCs w:val="24"/>
        </w:rPr>
        <w:t>UNITED STATES SUPREME COURT</w:t>
      </w:r>
    </w:p>
    <w:p w14:paraId="77182DB6" w14:textId="77777777" w:rsidR="009058BB" w:rsidRDefault="009058BB" w:rsidP="009058BB">
      <w:pPr>
        <w:pStyle w:val="NoSpacing"/>
        <w:jc w:val="center"/>
        <w:rPr>
          <w:rFonts w:ascii="Times New Roman" w:hAnsi="Times New Roman" w:cs="Times New Roman"/>
          <w:b/>
          <w:i/>
          <w:sz w:val="24"/>
          <w:szCs w:val="24"/>
        </w:rPr>
      </w:pPr>
    </w:p>
    <w:p w14:paraId="759EA443" w14:textId="13D7AEBF" w:rsidR="00337210" w:rsidRDefault="00A622B6" w:rsidP="009058BB">
      <w:pPr>
        <w:pStyle w:val="NoSpacing"/>
        <w:rPr>
          <w:rFonts w:cstheme="minorHAnsi"/>
        </w:rPr>
      </w:pPr>
      <w:r>
        <w:rPr>
          <w:rFonts w:cstheme="minorHAnsi"/>
        </w:rPr>
        <w:t>July 1</w:t>
      </w:r>
      <w:r w:rsidR="00ED76CD">
        <w:rPr>
          <w:rFonts w:cstheme="minorHAnsi"/>
        </w:rPr>
        <w:t>2</w:t>
      </w:r>
      <w:r>
        <w:rPr>
          <w:rFonts w:cstheme="minorHAnsi"/>
        </w:rPr>
        <w:t>, 2018</w:t>
      </w:r>
    </w:p>
    <w:p w14:paraId="62109600" w14:textId="77777777" w:rsidR="00337210" w:rsidRDefault="00337210" w:rsidP="009058BB">
      <w:pPr>
        <w:pStyle w:val="NoSpacing"/>
        <w:rPr>
          <w:rFonts w:cstheme="minorHAnsi"/>
        </w:rPr>
      </w:pPr>
    </w:p>
    <w:p w14:paraId="31575AFD" w14:textId="77777777" w:rsidR="009058BB" w:rsidRPr="00DE63AE" w:rsidRDefault="003C128A" w:rsidP="009058BB">
      <w:pPr>
        <w:pStyle w:val="NoSpacing"/>
        <w:rPr>
          <w:rFonts w:cstheme="minorHAnsi"/>
        </w:rPr>
      </w:pPr>
      <w:r w:rsidRPr="00DE63AE">
        <w:rPr>
          <w:rFonts w:cstheme="minorHAnsi"/>
        </w:rPr>
        <w:t>The Honorable Charles Grassley</w:t>
      </w:r>
      <w:r w:rsidRPr="00DE63AE">
        <w:rPr>
          <w:rFonts w:cstheme="minorHAnsi"/>
        </w:rPr>
        <w:tab/>
      </w:r>
      <w:r w:rsidRPr="00DE63AE">
        <w:rPr>
          <w:rFonts w:cstheme="minorHAnsi"/>
        </w:rPr>
        <w:tab/>
      </w:r>
      <w:r w:rsidRPr="00DE63AE">
        <w:rPr>
          <w:rFonts w:cstheme="minorHAnsi"/>
        </w:rPr>
        <w:tab/>
      </w:r>
      <w:r w:rsidRPr="00DE63AE">
        <w:rPr>
          <w:rFonts w:cstheme="minorHAnsi"/>
        </w:rPr>
        <w:tab/>
      </w:r>
      <w:r w:rsidRPr="00DE63AE">
        <w:rPr>
          <w:rFonts w:cstheme="minorHAnsi"/>
        </w:rPr>
        <w:tab/>
        <w:t>The Honorable Dianne Feinstein</w:t>
      </w:r>
    </w:p>
    <w:p w14:paraId="7F4A5F58" w14:textId="77777777" w:rsidR="003C128A" w:rsidRPr="00DE63AE" w:rsidRDefault="003C128A" w:rsidP="009058BB">
      <w:pPr>
        <w:pStyle w:val="NoSpacing"/>
        <w:rPr>
          <w:rFonts w:cstheme="minorHAnsi"/>
        </w:rPr>
      </w:pPr>
      <w:r w:rsidRPr="00DE63AE">
        <w:rPr>
          <w:rFonts w:cstheme="minorHAnsi"/>
        </w:rPr>
        <w:t>Chairman</w:t>
      </w:r>
      <w:r w:rsidRPr="00DE63AE">
        <w:rPr>
          <w:rFonts w:cstheme="minorHAnsi"/>
        </w:rPr>
        <w:tab/>
      </w:r>
      <w:r w:rsidRPr="00DE63AE">
        <w:rPr>
          <w:rFonts w:cstheme="minorHAnsi"/>
        </w:rPr>
        <w:tab/>
      </w:r>
      <w:r w:rsidRPr="00DE63AE">
        <w:rPr>
          <w:rFonts w:cstheme="minorHAnsi"/>
        </w:rPr>
        <w:tab/>
      </w:r>
      <w:r w:rsidRPr="00DE63AE">
        <w:rPr>
          <w:rFonts w:cstheme="minorHAnsi"/>
        </w:rPr>
        <w:tab/>
      </w:r>
      <w:r w:rsidRPr="00DE63AE">
        <w:rPr>
          <w:rFonts w:cstheme="minorHAnsi"/>
        </w:rPr>
        <w:tab/>
      </w:r>
      <w:r w:rsidRPr="00DE63AE">
        <w:rPr>
          <w:rFonts w:cstheme="minorHAnsi"/>
        </w:rPr>
        <w:tab/>
      </w:r>
      <w:r w:rsidRPr="00DE63AE">
        <w:rPr>
          <w:rFonts w:cstheme="minorHAnsi"/>
        </w:rPr>
        <w:tab/>
        <w:t>Ranking Member</w:t>
      </w:r>
    </w:p>
    <w:p w14:paraId="63389F17" w14:textId="77777777" w:rsidR="003C128A" w:rsidRPr="00DE63AE" w:rsidRDefault="003C128A" w:rsidP="009058BB">
      <w:pPr>
        <w:pStyle w:val="NoSpacing"/>
        <w:rPr>
          <w:rFonts w:cstheme="minorHAnsi"/>
        </w:rPr>
      </w:pPr>
      <w:r w:rsidRPr="00DE63AE">
        <w:rPr>
          <w:rFonts w:cstheme="minorHAnsi"/>
        </w:rPr>
        <w:t>Senate Committee on the Judiciary</w:t>
      </w:r>
      <w:r w:rsidRPr="00DE63AE">
        <w:rPr>
          <w:rFonts w:cstheme="minorHAnsi"/>
        </w:rPr>
        <w:tab/>
      </w:r>
      <w:r w:rsidRPr="00DE63AE">
        <w:rPr>
          <w:rFonts w:cstheme="minorHAnsi"/>
        </w:rPr>
        <w:tab/>
      </w:r>
      <w:r w:rsidRPr="00DE63AE">
        <w:rPr>
          <w:rFonts w:cstheme="minorHAnsi"/>
        </w:rPr>
        <w:tab/>
      </w:r>
      <w:r w:rsidRPr="00DE63AE">
        <w:rPr>
          <w:rFonts w:cstheme="minorHAnsi"/>
        </w:rPr>
        <w:tab/>
        <w:t>Senate Committee on the Judiciary</w:t>
      </w:r>
    </w:p>
    <w:p w14:paraId="0E3C1365" w14:textId="77777777" w:rsidR="003C128A" w:rsidRPr="00DE63AE" w:rsidRDefault="003C128A" w:rsidP="009058BB">
      <w:pPr>
        <w:pStyle w:val="NoSpacing"/>
        <w:rPr>
          <w:rFonts w:cstheme="minorHAnsi"/>
        </w:rPr>
      </w:pPr>
      <w:r w:rsidRPr="00DE63AE">
        <w:rPr>
          <w:rFonts w:cstheme="minorHAnsi"/>
        </w:rPr>
        <w:t>224 Dirksen Senate Office Building</w:t>
      </w:r>
      <w:r w:rsidRPr="00DE63AE">
        <w:rPr>
          <w:rFonts w:cstheme="minorHAnsi"/>
        </w:rPr>
        <w:tab/>
      </w:r>
      <w:r w:rsidRPr="00DE63AE">
        <w:rPr>
          <w:rFonts w:cstheme="minorHAnsi"/>
        </w:rPr>
        <w:tab/>
      </w:r>
      <w:r w:rsidRPr="00DE63AE">
        <w:rPr>
          <w:rFonts w:cstheme="minorHAnsi"/>
        </w:rPr>
        <w:tab/>
      </w:r>
      <w:r w:rsidRPr="00DE63AE">
        <w:rPr>
          <w:rFonts w:cstheme="minorHAnsi"/>
        </w:rPr>
        <w:tab/>
        <w:t>152 Dirksen Senate Office Building</w:t>
      </w:r>
      <w:r w:rsidRPr="00DE63AE">
        <w:rPr>
          <w:rFonts w:cstheme="minorHAnsi"/>
        </w:rPr>
        <w:cr/>
        <w:t>Washington, DC 20510</w:t>
      </w:r>
      <w:r w:rsidRPr="00DE63AE">
        <w:rPr>
          <w:rFonts w:cstheme="minorHAnsi"/>
        </w:rPr>
        <w:tab/>
      </w:r>
      <w:r w:rsidRPr="00DE63AE">
        <w:rPr>
          <w:rFonts w:cstheme="minorHAnsi"/>
        </w:rPr>
        <w:tab/>
      </w:r>
      <w:r w:rsidRPr="00DE63AE">
        <w:rPr>
          <w:rFonts w:cstheme="minorHAnsi"/>
        </w:rPr>
        <w:tab/>
      </w:r>
      <w:r w:rsidRPr="00DE63AE">
        <w:rPr>
          <w:rFonts w:cstheme="minorHAnsi"/>
        </w:rPr>
        <w:tab/>
      </w:r>
      <w:r w:rsidRPr="00DE63AE">
        <w:rPr>
          <w:rFonts w:cstheme="minorHAnsi"/>
        </w:rPr>
        <w:tab/>
      </w:r>
      <w:r w:rsidRPr="00DE63AE">
        <w:rPr>
          <w:rFonts w:cstheme="minorHAnsi"/>
        </w:rPr>
        <w:tab/>
        <w:t>Washington, DC 20510</w:t>
      </w:r>
      <w:r w:rsidRPr="00DE63AE">
        <w:rPr>
          <w:rFonts w:cstheme="minorHAnsi"/>
        </w:rPr>
        <w:cr/>
      </w:r>
    </w:p>
    <w:p w14:paraId="31C0BB98" w14:textId="77777777" w:rsidR="003C128A" w:rsidRDefault="003C128A" w:rsidP="009058BB">
      <w:pPr>
        <w:pStyle w:val="NoSpacing"/>
        <w:rPr>
          <w:rFonts w:ascii="Times New Roman" w:hAnsi="Times New Roman" w:cs="Times New Roman"/>
          <w:sz w:val="24"/>
          <w:szCs w:val="24"/>
        </w:rPr>
      </w:pPr>
    </w:p>
    <w:p w14:paraId="49E98F02" w14:textId="77777777" w:rsidR="003C128A" w:rsidRPr="00DE63AE" w:rsidRDefault="003C128A" w:rsidP="009058BB">
      <w:pPr>
        <w:pStyle w:val="NoSpacing"/>
        <w:rPr>
          <w:rFonts w:cstheme="minorHAnsi"/>
          <w:sz w:val="24"/>
          <w:szCs w:val="24"/>
        </w:rPr>
      </w:pPr>
      <w:r w:rsidRPr="00DE63AE">
        <w:rPr>
          <w:rFonts w:cstheme="minorHAnsi"/>
          <w:sz w:val="24"/>
          <w:szCs w:val="24"/>
        </w:rPr>
        <w:t>Dear Chairman Grassley and Ranking Member Feinstein:</w:t>
      </w:r>
    </w:p>
    <w:p w14:paraId="202022EF" w14:textId="77777777" w:rsidR="003C128A" w:rsidRPr="00DE63AE" w:rsidRDefault="003C128A" w:rsidP="009058BB">
      <w:pPr>
        <w:pStyle w:val="NoSpacing"/>
        <w:rPr>
          <w:rFonts w:cstheme="minorHAnsi"/>
          <w:sz w:val="24"/>
          <w:szCs w:val="24"/>
        </w:rPr>
      </w:pPr>
    </w:p>
    <w:p w14:paraId="0BE8F12F" w14:textId="5D1D3612" w:rsidR="00110C01" w:rsidRPr="00DE63AE" w:rsidRDefault="00A622B6" w:rsidP="003C128A">
      <w:pPr>
        <w:pStyle w:val="NoSpacing"/>
        <w:jc w:val="both"/>
        <w:rPr>
          <w:rFonts w:cstheme="minorHAnsi"/>
        </w:rPr>
      </w:pPr>
      <w:r>
        <w:rPr>
          <w:rFonts w:cstheme="minorHAnsi"/>
        </w:rPr>
        <w:t xml:space="preserve">On July 9, 2018, </w:t>
      </w:r>
      <w:r w:rsidR="009058BB" w:rsidRPr="00DE63AE">
        <w:rPr>
          <w:rFonts w:cstheme="minorHAnsi"/>
        </w:rPr>
        <w:t xml:space="preserve">The </w:t>
      </w:r>
      <w:r>
        <w:rPr>
          <w:rFonts w:cstheme="minorHAnsi"/>
        </w:rPr>
        <w:t xml:space="preserve">President of the United States </w:t>
      </w:r>
      <w:r w:rsidRPr="00A622B6">
        <w:rPr>
          <w:rFonts w:cstheme="minorHAnsi"/>
        </w:rPr>
        <w:t>announced his intent to nominate Judge Brett M. Kavanaugh of the U.S. Court of Appeals for the District of Columbia Circuit to fill the Supreme Court vacancy created by Justice Anthony Kennedy’s</w:t>
      </w:r>
      <w:r w:rsidR="001C1F44">
        <w:rPr>
          <w:rFonts w:cstheme="minorHAnsi"/>
        </w:rPr>
        <w:t xml:space="preserve"> retirement. </w:t>
      </w:r>
      <w:r>
        <w:rPr>
          <w:rFonts w:cstheme="minorHAnsi"/>
        </w:rPr>
        <w:t xml:space="preserve"> In view of the implications of this nomination </w:t>
      </w:r>
      <w:r w:rsidR="00D46D17">
        <w:rPr>
          <w:rFonts w:cstheme="minorHAnsi"/>
        </w:rPr>
        <w:t>for</w:t>
      </w:r>
      <w:r>
        <w:rPr>
          <w:rFonts w:cstheme="minorHAnsi"/>
        </w:rPr>
        <w:t xml:space="preserve"> the future of our democracy and the rights of racial and ethnic minorities, women, individuals with disabilities, members of the LGB</w:t>
      </w:r>
      <w:r w:rsidR="00EC6897">
        <w:rPr>
          <w:rFonts w:cstheme="minorHAnsi"/>
        </w:rPr>
        <w:t>T</w:t>
      </w:r>
      <w:r>
        <w:rPr>
          <w:rFonts w:cstheme="minorHAnsi"/>
        </w:rPr>
        <w:t>Q</w:t>
      </w:r>
      <w:r w:rsidR="001C1F44">
        <w:rPr>
          <w:rFonts w:cstheme="minorHAnsi"/>
        </w:rPr>
        <w:t>+</w:t>
      </w:r>
      <w:r>
        <w:rPr>
          <w:rFonts w:cstheme="minorHAnsi"/>
        </w:rPr>
        <w:t xml:space="preserve"> community and others who have historically suffered discrimination and inequality in this nation, </w:t>
      </w:r>
      <w:r w:rsidR="00EC6897">
        <w:rPr>
          <w:rFonts w:cstheme="minorHAnsi"/>
        </w:rPr>
        <w:t>the American Association for Access, E</w:t>
      </w:r>
      <w:r w:rsidR="009058BB" w:rsidRPr="00DE63AE">
        <w:rPr>
          <w:rFonts w:cstheme="minorHAnsi"/>
        </w:rPr>
        <w:t xml:space="preserve">quity and Diversity (AAAED), </w:t>
      </w:r>
      <w:r w:rsidR="003C128A" w:rsidRPr="00DE63AE">
        <w:rPr>
          <w:rFonts w:cstheme="minorHAnsi"/>
        </w:rPr>
        <w:t xml:space="preserve">must respectfully </w:t>
      </w:r>
      <w:r>
        <w:rPr>
          <w:rFonts w:cstheme="minorHAnsi"/>
        </w:rPr>
        <w:t xml:space="preserve">urge the Senate to give its most critical </w:t>
      </w:r>
      <w:r w:rsidR="00EC6897">
        <w:rPr>
          <w:rFonts w:cstheme="minorHAnsi"/>
        </w:rPr>
        <w:t xml:space="preserve">and searching </w:t>
      </w:r>
      <w:r>
        <w:rPr>
          <w:rFonts w:cstheme="minorHAnsi"/>
        </w:rPr>
        <w:t xml:space="preserve">review </w:t>
      </w:r>
      <w:r w:rsidR="00EC6897">
        <w:rPr>
          <w:rFonts w:cstheme="minorHAnsi"/>
        </w:rPr>
        <w:t xml:space="preserve">of </w:t>
      </w:r>
      <w:r>
        <w:rPr>
          <w:rFonts w:cstheme="minorHAnsi"/>
        </w:rPr>
        <w:t xml:space="preserve">this nomination. </w:t>
      </w:r>
    </w:p>
    <w:p w14:paraId="0279610F" w14:textId="77777777" w:rsidR="00110C01" w:rsidRPr="00DE63AE" w:rsidRDefault="00110C01" w:rsidP="003C128A">
      <w:pPr>
        <w:pStyle w:val="NoSpacing"/>
        <w:jc w:val="both"/>
        <w:rPr>
          <w:rFonts w:cstheme="minorHAnsi"/>
        </w:rPr>
      </w:pPr>
    </w:p>
    <w:p w14:paraId="058D2CC8" w14:textId="7912BDAB" w:rsidR="009058BB" w:rsidRPr="00DE63AE" w:rsidRDefault="009058BB" w:rsidP="003C128A">
      <w:pPr>
        <w:pStyle w:val="NoSpacing"/>
        <w:jc w:val="both"/>
        <w:rPr>
          <w:rFonts w:cstheme="minorHAnsi"/>
        </w:rPr>
      </w:pPr>
      <w:r w:rsidRPr="00DE63AE">
        <w:rPr>
          <w:rFonts w:cstheme="minorHAnsi"/>
        </w:rPr>
        <w:t xml:space="preserve">Founded in 1974 as the American Association for Affirmative Action (AAAA), AAAED is a national not-for-profit association of professionals working in the areas of equal opportunity, </w:t>
      </w:r>
      <w:r w:rsidR="005E7895" w:rsidRPr="00DE63AE">
        <w:rPr>
          <w:rFonts w:cstheme="minorHAnsi"/>
        </w:rPr>
        <w:t>co</w:t>
      </w:r>
      <w:r w:rsidR="00A720DC" w:rsidRPr="00DE63AE">
        <w:rPr>
          <w:rFonts w:cstheme="minorHAnsi"/>
        </w:rPr>
        <w:t>mpliance and diversity. T</w:t>
      </w:r>
      <w:r w:rsidR="005E7895" w:rsidRPr="00DE63AE">
        <w:rPr>
          <w:rFonts w:cstheme="minorHAnsi"/>
        </w:rPr>
        <w:t xml:space="preserve">he longest-serving organization of individuals in the equal opportunity and diversity professions, </w:t>
      </w:r>
      <w:r w:rsidR="00A720DC" w:rsidRPr="00DE63AE">
        <w:rPr>
          <w:rFonts w:cstheme="minorHAnsi"/>
        </w:rPr>
        <w:t xml:space="preserve">AAAED </w:t>
      </w:r>
      <w:r w:rsidR="005E7895" w:rsidRPr="00DE63AE">
        <w:rPr>
          <w:rFonts w:cstheme="minorHAnsi"/>
        </w:rPr>
        <w:t>has 4</w:t>
      </w:r>
      <w:r w:rsidR="00EC6897">
        <w:rPr>
          <w:rFonts w:cstheme="minorHAnsi"/>
        </w:rPr>
        <w:t>4</w:t>
      </w:r>
      <w:r w:rsidR="00507E0A" w:rsidRPr="00DE63AE">
        <w:rPr>
          <w:rFonts w:cstheme="minorHAnsi"/>
        </w:rPr>
        <w:t xml:space="preserve"> years of leadership </w:t>
      </w:r>
      <w:r w:rsidRPr="00DE63AE">
        <w:rPr>
          <w:rFonts w:cstheme="minorHAnsi"/>
        </w:rPr>
        <w:t xml:space="preserve">providing </w:t>
      </w:r>
      <w:r w:rsidR="00A720DC" w:rsidRPr="00DE63AE">
        <w:rPr>
          <w:rFonts w:cstheme="minorHAnsi"/>
        </w:rPr>
        <w:t xml:space="preserve">quality </w:t>
      </w:r>
      <w:r w:rsidRPr="00DE63AE">
        <w:rPr>
          <w:rFonts w:cstheme="minorHAnsi"/>
        </w:rPr>
        <w:t xml:space="preserve">professional </w:t>
      </w:r>
      <w:r w:rsidR="004A5DE6">
        <w:rPr>
          <w:rFonts w:cstheme="minorHAnsi"/>
        </w:rPr>
        <w:t>development services</w:t>
      </w:r>
      <w:r w:rsidRPr="00DE63AE">
        <w:rPr>
          <w:rFonts w:cstheme="minorHAnsi"/>
        </w:rPr>
        <w:t xml:space="preserve"> to </w:t>
      </w:r>
      <w:r w:rsidR="00EF7C01" w:rsidRPr="00DE63AE">
        <w:rPr>
          <w:rFonts w:cstheme="minorHAnsi"/>
        </w:rPr>
        <w:t xml:space="preserve">practitioners </w:t>
      </w:r>
      <w:r w:rsidR="00F16FCB" w:rsidRPr="00DE63AE">
        <w:rPr>
          <w:rFonts w:cstheme="minorHAnsi"/>
        </w:rPr>
        <w:t>and promoting</w:t>
      </w:r>
      <w:r w:rsidRPr="00DE63AE">
        <w:rPr>
          <w:rFonts w:cstheme="minorHAnsi"/>
        </w:rPr>
        <w:t xml:space="preserve"> understanding and advocacy of affirmative action and other equal opportunity laws</w:t>
      </w:r>
      <w:r w:rsidR="00507E0A" w:rsidRPr="00DE63AE">
        <w:rPr>
          <w:rFonts w:cstheme="minorHAnsi"/>
        </w:rPr>
        <w:t>.</w:t>
      </w:r>
      <w:r w:rsidRPr="00DE63AE">
        <w:rPr>
          <w:rFonts w:cstheme="minorHAnsi"/>
        </w:rPr>
        <w:t xml:space="preserve">  </w:t>
      </w:r>
    </w:p>
    <w:p w14:paraId="13FBAE35" w14:textId="77777777" w:rsidR="009058BB" w:rsidRPr="00DE63AE" w:rsidRDefault="009058BB" w:rsidP="003C128A">
      <w:pPr>
        <w:pStyle w:val="NoSpacing"/>
        <w:jc w:val="both"/>
        <w:rPr>
          <w:rFonts w:cstheme="minorHAnsi"/>
        </w:rPr>
      </w:pPr>
    </w:p>
    <w:p w14:paraId="2B7B03FC" w14:textId="62662D83" w:rsidR="00DC2974" w:rsidRDefault="005B0452" w:rsidP="005B0452">
      <w:pPr>
        <w:pStyle w:val="NoSpacing"/>
        <w:jc w:val="both"/>
        <w:rPr>
          <w:rFonts w:cstheme="minorHAnsi"/>
        </w:rPr>
      </w:pPr>
      <w:r w:rsidRPr="005B0452">
        <w:rPr>
          <w:rFonts w:cstheme="minorHAnsi"/>
        </w:rPr>
        <w:t>AAAED is reviewing the judicial record of Judge Kavanaugh and will not express its support or opposition at this time. However, given its purposes</w:t>
      </w:r>
      <w:r>
        <w:rPr>
          <w:rFonts w:cstheme="minorHAnsi"/>
        </w:rPr>
        <w:t xml:space="preserve"> </w:t>
      </w:r>
      <w:r w:rsidRPr="005B0452">
        <w:rPr>
          <w:rFonts w:cstheme="minorHAnsi"/>
        </w:rPr>
        <w:t>and in light of the seriousness of our concerns regarding the future of equal opportunity programs at a time when the nation is becoming increasingly diverse, we offer herewith some questions that we respectfully ask you to pose</w:t>
      </w:r>
      <w:r w:rsidR="00DC2974" w:rsidRPr="00DC2974">
        <w:rPr>
          <w:rFonts w:cstheme="minorHAnsi"/>
        </w:rPr>
        <w:t xml:space="preserve"> to the nominee as you consider his fitness to serve on the Court.</w:t>
      </w:r>
    </w:p>
    <w:p w14:paraId="2F15289B" w14:textId="4A755F11" w:rsidR="00DC2974" w:rsidRDefault="00DC2974" w:rsidP="006520C4">
      <w:pPr>
        <w:pStyle w:val="NoSpacing"/>
        <w:jc w:val="both"/>
        <w:rPr>
          <w:rFonts w:cstheme="minorHAnsi"/>
        </w:rPr>
      </w:pPr>
    </w:p>
    <w:p w14:paraId="2F72658A" w14:textId="52AE2976" w:rsidR="005D6F38" w:rsidRDefault="005D6F38" w:rsidP="006520C4">
      <w:pPr>
        <w:pStyle w:val="NoSpacing"/>
        <w:jc w:val="both"/>
        <w:rPr>
          <w:rFonts w:cstheme="minorHAnsi"/>
        </w:rPr>
      </w:pPr>
    </w:p>
    <w:p w14:paraId="7E7974E5" w14:textId="77777777" w:rsidR="005D6F38" w:rsidRDefault="005D6F38" w:rsidP="006520C4">
      <w:pPr>
        <w:pStyle w:val="NoSpacing"/>
        <w:jc w:val="both"/>
        <w:rPr>
          <w:rFonts w:cstheme="minorHAnsi"/>
        </w:rPr>
      </w:pPr>
    </w:p>
    <w:p w14:paraId="7AC6C81B" w14:textId="77777777" w:rsidR="00DC2974" w:rsidRDefault="00DC2974" w:rsidP="006520C4">
      <w:pPr>
        <w:pStyle w:val="NoSpacing"/>
        <w:jc w:val="both"/>
        <w:rPr>
          <w:rFonts w:cstheme="minorHAnsi"/>
        </w:rPr>
      </w:pPr>
    </w:p>
    <w:p w14:paraId="3D07D630" w14:textId="77777777" w:rsidR="00262D2A" w:rsidRPr="005F65B1" w:rsidRDefault="00262D2A" w:rsidP="00262D2A">
      <w:pPr>
        <w:pStyle w:val="BasicParagraph"/>
        <w:ind w:left="-180"/>
        <w:jc w:val="center"/>
        <w:rPr>
          <w:rFonts w:ascii="GaramondPremrPro" w:hAnsi="GaramondPremrPro" w:cs="GaramondPremrPro"/>
          <w:color w:val="1F4E79" w:themeColor="accent1" w:themeShade="80"/>
          <w:sz w:val="18"/>
          <w:szCs w:val="18"/>
        </w:rPr>
      </w:pPr>
      <w:r w:rsidRPr="005F65B1">
        <w:rPr>
          <w:rFonts w:ascii="GaramondPremrPro" w:hAnsi="GaramondPremrPro" w:cs="GaramondPremrPro"/>
          <w:color w:val="1F4E79" w:themeColor="accent1" w:themeShade="80"/>
          <w:sz w:val="18"/>
          <w:szCs w:val="18"/>
        </w:rPr>
        <w:t>1701 Pennsylvania Avenue, NW • Suite 200 • Washington, DC 20006 • Phone: 800-252-8952</w:t>
      </w:r>
    </w:p>
    <w:p w14:paraId="70B0B2A5" w14:textId="7B7E9AF8" w:rsidR="00262D2A" w:rsidRDefault="00262D2A" w:rsidP="00262D2A">
      <w:pPr>
        <w:ind w:left="-180"/>
        <w:jc w:val="center"/>
        <w:rPr>
          <w:rFonts w:ascii="GaramondPremrPro" w:hAnsi="GaramondPremrPro" w:cs="GaramondPremrPro"/>
          <w:color w:val="1F4E79" w:themeColor="accent1" w:themeShade="80"/>
          <w:sz w:val="18"/>
          <w:szCs w:val="18"/>
        </w:rPr>
      </w:pPr>
      <w:r w:rsidRPr="005F65B1">
        <w:rPr>
          <w:rFonts w:ascii="GaramondPremrPro" w:hAnsi="GaramondPremrPro" w:cs="GaramondPremrPro"/>
          <w:color w:val="1F4E79" w:themeColor="accent1" w:themeShade="80"/>
          <w:sz w:val="18"/>
          <w:szCs w:val="18"/>
        </w:rPr>
        <w:t>202-349-9855 • Fax: 202-355-1399 • execdir@aaaed.org • www.aaaed.org</w:t>
      </w:r>
    </w:p>
    <w:p w14:paraId="1FB26EF9" w14:textId="65A3A401" w:rsidR="002D3CED" w:rsidRDefault="005F66AF" w:rsidP="005F66AF">
      <w:pPr>
        <w:pStyle w:val="NoSpacing"/>
        <w:numPr>
          <w:ilvl w:val="0"/>
          <w:numId w:val="1"/>
        </w:numPr>
        <w:rPr>
          <w:rFonts w:cstheme="minorHAnsi"/>
        </w:rPr>
      </w:pPr>
      <w:r>
        <w:rPr>
          <w:rFonts w:cstheme="minorHAnsi"/>
        </w:rPr>
        <w:lastRenderedPageBreak/>
        <w:t xml:space="preserve">Does Judge Kavanaugh believe the following cases related to equal opportunity and diversity in education were correctly decided.  If not, why not?  </w:t>
      </w:r>
    </w:p>
    <w:p w14:paraId="51D799AC" w14:textId="77777777" w:rsidR="001E07AB" w:rsidRDefault="001E07AB" w:rsidP="001E07AB">
      <w:pPr>
        <w:pStyle w:val="NoSpacing"/>
        <w:rPr>
          <w:rFonts w:cstheme="minorHAnsi"/>
        </w:rPr>
      </w:pPr>
    </w:p>
    <w:p w14:paraId="26CBB0E0" w14:textId="66DD5395" w:rsidR="005F66AF" w:rsidRPr="00B560A9" w:rsidRDefault="005F66AF" w:rsidP="005E7A16">
      <w:pPr>
        <w:pStyle w:val="NoSpacing"/>
        <w:numPr>
          <w:ilvl w:val="1"/>
          <w:numId w:val="1"/>
        </w:numPr>
        <w:rPr>
          <w:rFonts w:cstheme="minorHAnsi"/>
        </w:rPr>
      </w:pPr>
      <w:r w:rsidRPr="005F66AF">
        <w:rPr>
          <w:rFonts w:cstheme="minorHAnsi"/>
          <w:i/>
        </w:rPr>
        <w:t>Brown v. Board of Education</w:t>
      </w:r>
      <w:r w:rsidR="005E40A6">
        <w:rPr>
          <w:rFonts w:cstheme="minorHAnsi"/>
          <w:i/>
        </w:rPr>
        <w:t xml:space="preserve"> of Topeka</w:t>
      </w:r>
      <w:r w:rsidR="005E7A16">
        <w:rPr>
          <w:rFonts w:cstheme="minorHAnsi"/>
          <w:i/>
        </w:rPr>
        <w:t xml:space="preserve">, </w:t>
      </w:r>
      <w:r w:rsidR="00242D0C">
        <w:rPr>
          <w:rFonts w:cstheme="minorHAnsi"/>
          <w:i/>
        </w:rPr>
        <w:t>1</w:t>
      </w:r>
      <w:r w:rsidR="005E7A16" w:rsidRPr="005E7A16">
        <w:rPr>
          <w:rFonts w:cstheme="minorHAnsi"/>
          <w:i/>
        </w:rPr>
        <w:t xml:space="preserve">347 US 483 </w:t>
      </w:r>
      <w:r w:rsidR="005E7A16">
        <w:rPr>
          <w:rFonts w:cstheme="minorHAnsi"/>
          <w:i/>
        </w:rPr>
        <w:t>(</w:t>
      </w:r>
      <w:r w:rsidR="005E7A16" w:rsidRPr="005E7A16">
        <w:rPr>
          <w:rFonts w:cstheme="minorHAnsi"/>
          <w:i/>
        </w:rPr>
        <w:t>1954</w:t>
      </w:r>
      <w:r w:rsidR="00242D0C">
        <w:rPr>
          <w:rFonts w:cstheme="minorHAnsi"/>
          <w:i/>
        </w:rPr>
        <w:t>)</w:t>
      </w:r>
      <w:r w:rsidR="005E40A6">
        <w:rPr>
          <w:rFonts w:cstheme="minorHAnsi"/>
          <w:i/>
        </w:rPr>
        <w:t xml:space="preserve">. </w:t>
      </w:r>
      <w:r w:rsidR="005E40A6" w:rsidRPr="00B560A9">
        <w:rPr>
          <w:rFonts w:cstheme="minorHAnsi"/>
        </w:rPr>
        <w:t xml:space="preserve">In </w:t>
      </w:r>
      <w:r w:rsidR="005E40A6" w:rsidRPr="005E7A16">
        <w:rPr>
          <w:rFonts w:cstheme="minorHAnsi"/>
          <w:i/>
        </w:rPr>
        <w:t>Brown v. Board of Education</w:t>
      </w:r>
      <w:r w:rsidR="005E40A6" w:rsidRPr="00B560A9">
        <w:rPr>
          <w:rFonts w:cstheme="minorHAnsi"/>
        </w:rPr>
        <w:t xml:space="preserve">, the Court held that </w:t>
      </w:r>
      <w:r w:rsidR="00096460">
        <w:rPr>
          <w:rFonts w:cstheme="minorHAnsi"/>
        </w:rPr>
        <w:t>“</w:t>
      </w:r>
      <w:r w:rsidR="005E40A6" w:rsidRPr="00B560A9">
        <w:rPr>
          <w:rFonts w:cstheme="minorHAnsi"/>
        </w:rPr>
        <w:t>separate but equal</w:t>
      </w:r>
      <w:r w:rsidR="00096460">
        <w:rPr>
          <w:rFonts w:cstheme="minorHAnsi"/>
        </w:rPr>
        <w:t>”</w:t>
      </w:r>
      <w:r w:rsidR="005E40A6" w:rsidRPr="00B560A9">
        <w:rPr>
          <w:rFonts w:cstheme="minorHAnsi"/>
        </w:rPr>
        <w:t xml:space="preserve"> educational facilities for racial minorities is inherently unequal</w:t>
      </w:r>
      <w:r w:rsidR="005E7A16">
        <w:rPr>
          <w:rFonts w:cstheme="minorHAnsi"/>
        </w:rPr>
        <w:t xml:space="preserve">, </w:t>
      </w:r>
      <w:r w:rsidR="005E40A6" w:rsidRPr="00B560A9">
        <w:rPr>
          <w:rFonts w:cstheme="minorHAnsi"/>
        </w:rPr>
        <w:t>violating the Equal Protection Clause of the Fourteenth Amendment.</w:t>
      </w:r>
    </w:p>
    <w:p w14:paraId="73308C7D" w14:textId="245EA72C" w:rsidR="005F66AF" w:rsidRDefault="005F66AF" w:rsidP="005E7A16">
      <w:pPr>
        <w:pStyle w:val="NoSpacing"/>
        <w:numPr>
          <w:ilvl w:val="1"/>
          <w:numId w:val="1"/>
        </w:numPr>
        <w:rPr>
          <w:rFonts w:cstheme="minorHAnsi"/>
          <w:i/>
        </w:rPr>
      </w:pPr>
      <w:r>
        <w:rPr>
          <w:rFonts w:cstheme="minorHAnsi"/>
          <w:i/>
        </w:rPr>
        <w:t xml:space="preserve">Regents of </w:t>
      </w:r>
      <w:r w:rsidR="005E40A6">
        <w:rPr>
          <w:rFonts w:cstheme="minorHAnsi"/>
          <w:i/>
        </w:rPr>
        <w:t>th</w:t>
      </w:r>
      <w:r>
        <w:rPr>
          <w:rFonts w:cstheme="minorHAnsi"/>
          <w:i/>
        </w:rPr>
        <w:t>e University of California</w:t>
      </w:r>
      <w:r w:rsidR="004B0F16">
        <w:rPr>
          <w:rFonts w:cstheme="minorHAnsi"/>
          <w:i/>
        </w:rPr>
        <w:t xml:space="preserve"> v. Bakke</w:t>
      </w:r>
      <w:r w:rsidR="005E7A16">
        <w:rPr>
          <w:rFonts w:cstheme="minorHAnsi"/>
          <w:i/>
        </w:rPr>
        <w:t xml:space="preserve">, </w:t>
      </w:r>
      <w:r w:rsidR="00242D0C">
        <w:rPr>
          <w:rFonts w:cstheme="minorHAnsi"/>
          <w:i/>
        </w:rPr>
        <w:t>1</w:t>
      </w:r>
      <w:r w:rsidR="005E7A16" w:rsidRPr="005E7A16">
        <w:rPr>
          <w:rFonts w:cstheme="minorHAnsi"/>
          <w:i/>
        </w:rPr>
        <w:t>438 US 265 (1978)</w:t>
      </w:r>
      <w:r w:rsidR="004B0F16">
        <w:rPr>
          <w:rFonts w:cstheme="minorHAnsi"/>
          <w:i/>
        </w:rPr>
        <w:t xml:space="preserve">.  </w:t>
      </w:r>
      <w:r w:rsidR="004B0F16" w:rsidRPr="00B560A9">
        <w:rPr>
          <w:rFonts w:cstheme="minorHAnsi"/>
        </w:rPr>
        <w:t xml:space="preserve">In </w:t>
      </w:r>
      <w:r w:rsidR="004B0F16" w:rsidRPr="00B560A9">
        <w:rPr>
          <w:rFonts w:cstheme="minorHAnsi"/>
          <w:i/>
        </w:rPr>
        <w:t>Bakke,</w:t>
      </w:r>
      <w:r w:rsidR="004B0F16" w:rsidRPr="00B560A9">
        <w:rPr>
          <w:rFonts w:cstheme="minorHAnsi"/>
        </w:rPr>
        <w:t xml:space="preserve"> four of the justices contended that any racial quota system supported by </w:t>
      </w:r>
      <w:r w:rsidR="00DC2974">
        <w:rPr>
          <w:rFonts w:cstheme="minorHAnsi"/>
        </w:rPr>
        <w:t xml:space="preserve">the </w:t>
      </w:r>
      <w:r w:rsidR="004B0F16" w:rsidRPr="00B560A9">
        <w:rPr>
          <w:rFonts w:cstheme="minorHAnsi"/>
        </w:rPr>
        <w:t>government violated the Civil Rights Act of 1964. Justice Lewis F. Powell, Jr., agreed, casting the deciding vote ordering the medical school to admit Bakke. However, in his opinion, Powell argued that the rigid use of racial quotas as employed at the school violated the Equal Protection Clause of the Fourteenth Amendment. The remaining four justices held that the use of race in admissions decisions in higher education was constitutionally permissible. Powell joined that opinion as well, contending that the use of race was permissible as one of several admission</w:t>
      </w:r>
      <w:r w:rsidR="002A71BF">
        <w:rPr>
          <w:rFonts w:cstheme="minorHAnsi"/>
        </w:rPr>
        <w:t>s</w:t>
      </w:r>
      <w:r w:rsidR="004B0F16" w:rsidRPr="00B560A9">
        <w:rPr>
          <w:rFonts w:cstheme="minorHAnsi"/>
        </w:rPr>
        <w:t xml:space="preserve"> criteria.  </w:t>
      </w:r>
    </w:p>
    <w:p w14:paraId="1C8BFDFB" w14:textId="3B2325A3" w:rsidR="005F66AF" w:rsidRDefault="005F66AF" w:rsidP="005E7A16">
      <w:pPr>
        <w:pStyle w:val="NoSpacing"/>
        <w:numPr>
          <w:ilvl w:val="1"/>
          <w:numId w:val="1"/>
        </w:numPr>
        <w:rPr>
          <w:rFonts w:cstheme="minorHAnsi"/>
          <w:i/>
        </w:rPr>
      </w:pPr>
      <w:r>
        <w:rPr>
          <w:rFonts w:cstheme="minorHAnsi"/>
          <w:i/>
        </w:rPr>
        <w:t>Grutter v. Bollinger</w:t>
      </w:r>
      <w:r w:rsidR="005E7A16">
        <w:rPr>
          <w:rFonts w:cstheme="minorHAnsi"/>
          <w:i/>
        </w:rPr>
        <w:t>,</w:t>
      </w:r>
      <w:r w:rsidR="00242D0C">
        <w:rPr>
          <w:rFonts w:cstheme="minorHAnsi"/>
          <w:i/>
        </w:rPr>
        <w:t xml:space="preserve"> </w:t>
      </w:r>
      <w:r w:rsidR="005E7A16" w:rsidRPr="005E7A16">
        <w:rPr>
          <w:rFonts w:cstheme="minorHAnsi"/>
          <w:i/>
        </w:rPr>
        <w:t xml:space="preserve">539 U.S. 306 </w:t>
      </w:r>
      <w:r w:rsidR="00242D0C">
        <w:rPr>
          <w:rFonts w:cstheme="minorHAnsi"/>
          <w:i/>
        </w:rPr>
        <w:t>(2003)</w:t>
      </w:r>
      <w:r w:rsidR="004B0F16">
        <w:rPr>
          <w:rFonts w:cstheme="minorHAnsi"/>
          <w:i/>
        </w:rPr>
        <w:t xml:space="preserve">. </w:t>
      </w:r>
      <w:r w:rsidR="004B0F16" w:rsidRPr="00B560A9">
        <w:rPr>
          <w:rFonts w:cstheme="minorHAnsi"/>
        </w:rPr>
        <w:t xml:space="preserve">In </w:t>
      </w:r>
      <w:r w:rsidR="004B0F16" w:rsidRPr="00096460">
        <w:rPr>
          <w:rFonts w:cstheme="minorHAnsi"/>
          <w:i/>
        </w:rPr>
        <w:t>Grutter,</w:t>
      </w:r>
      <w:r w:rsidR="006705B8" w:rsidRPr="00B560A9">
        <w:rPr>
          <w:rFonts w:cstheme="minorHAnsi"/>
        </w:rPr>
        <w:t xml:space="preserve"> </w:t>
      </w:r>
      <w:r w:rsidR="004B0F16" w:rsidRPr="00B560A9">
        <w:rPr>
          <w:rFonts w:cstheme="minorHAnsi"/>
        </w:rPr>
        <w:t>a 5-4 opinion delivered by Justice Sandra Day O'Connor, the Court held that the Equal Protection Clause does not prohibit the Law School's narrowly tailored use of race in admissions decisions to further a compelling interest in obtaining the educational benefits that flow from a diverse student body</w:t>
      </w:r>
      <w:r w:rsidR="004B0F16" w:rsidRPr="004B0F16">
        <w:rPr>
          <w:rFonts w:cstheme="minorHAnsi"/>
          <w:i/>
        </w:rPr>
        <w:t>.</w:t>
      </w:r>
    </w:p>
    <w:p w14:paraId="6DC592DF" w14:textId="791B0B48" w:rsidR="005F66AF" w:rsidRPr="00B560A9" w:rsidRDefault="005F66AF" w:rsidP="006705B8">
      <w:pPr>
        <w:pStyle w:val="NoSpacing"/>
        <w:numPr>
          <w:ilvl w:val="1"/>
          <w:numId w:val="1"/>
        </w:numPr>
        <w:rPr>
          <w:rFonts w:cstheme="minorHAnsi"/>
        </w:rPr>
      </w:pPr>
      <w:r>
        <w:rPr>
          <w:rFonts w:cstheme="minorHAnsi"/>
          <w:i/>
        </w:rPr>
        <w:t>Fisher v. University of Texas at Austin</w:t>
      </w:r>
      <w:r w:rsidR="007A6D8C">
        <w:rPr>
          <w:rFonts w:cstheme="minorHAnsi"/>
          <w:i/>
        </w:rPr>
        <w:t>, 539 U.S.__</w:t>
      </w:r>
      <w:r w:rsidR="00242D0C">
        <w:rPr>
          <w:rFonts w:cstheme="minorHAnsi"/>
          <w:i/>
        </w:rPr>
        <w:t xml:space="preserve"> (2016)</w:t>
      </w:r>
      <w:r w:rsidR="006705B8">
        <w:rPr>
          <w:rFonts w:cstheme="minorHAnsi"/>
          <w:i/>
        </w:rPr>
        <w:t xml:space="preserve">.  </w:t>
      </w:r>
      <w:r w:rsidR="006705B8" w:rsidRPr="00B560A9">
        <w:rPr>
          <w:rFonts w:cstheme="minorHAnsi"/>
        </w:rPr>
        <w:t xml:space="preserve">In </w:t>
      </w:r>
      <w:r w:rsidR="006705B8" w:rsidRPr="00B560A9">
        <w:rPr>
          <w:rFonts w:cstheme="minorHAnsi"/>
          <w:i/>
        </w:rPr>
        <w:t>Fisher,</w:t>
      </w:r>
      <w:r w:rsidR="006705B8" w:rsidRPr="00B560A9">
        <w:rPr>
          <w:rFonts w:cstheme="minorHAnsi"/>
        </w:rPr>
        <w:t xml:space="preserve"> the University of Texas’ use of race as a consideration in the admissions process did not violate the Equal Protection Clause of the Fourteenth Amendment. Justice Anthony M. Kennedy delivered the opinion for the 4-3 majority. The Court held that the University of Texas’ use of race as a factor in the holistic review used to fill the spots remaining after the </w:t>
      </w:r>
      <w:r w:rsidR="00096460">
        <w:rPr>
          <w:rFonts w:cstheme="minorHAnsi"/>
        </w:rPr>
        <w:t xml:space="preserve">Texas </w:t>
      </w:r>
      <w:r w:rsidR="006705B8" w:rsidRPr="00B560A9">
        <w:rPr>
          <w:rFonts w:cstheme="minorHAnsi"/>
        </w:rPr>
        <w:t xml:space="preserve">Top Ten Percent Plan </w:t>
      </w:r>
      <w:r w:rsidR="00096460">
        <w:rPr>
          <w:rFonts w:cstheme="minorHAnsi"/>
        </w:rPr>
        <w:t xml:space="preserve">was applied </w:t>
      </w:r>
      <w:r w:rsidR="006705B8" w:rsidRPr="00B560A9">
        <w:rPr>
          <w:rFonts w:cstheme="minorHAnsi"/>
        </w:rPr>
        <w:t>was narrowly tailored to serve a compelling state interest.</w:t>
      </w:r>
    </w:p>
    <w:p w14:paraId="5795A98F" w14:textId="516D1FD2" w:rsidR="005F66AF" w:rsidRPr="00096460" w:rsidRDefault="006705B8" w:rsidP="004D11BA">
      <w:pPr>
        <w:pStyle w:val="NoSpacing"/>
        <w:numPr>
          <w:ilvl w:val="1"/>
          <w:numId w:val="1"/>
        </w:numPr>
        <w:rPr>
          <w:rFonts w:cstheme="minorHAnsi"/>
        </w:rPr>
      </w:pPr>
      <w:r w:rsidRPr="00096460">
        <w:rPr>
          <w:rFonts w:cstheme="minorHAnsi"/>
          <w:i/>
        </w:rPr>
        <w:t xml:space="preserve">Parents Involved </w:t>
      </w:r>
      <w:r w:rsidR="009717C4" w:rsidRPr="00096460">
        <w:rPr>
          <w:rFonts w:cstheme="minorHAnsi"/>
          <w:i/>
        </w:rPr>
        <w:t>in</w:t>
      </w:r>
      <w:r w:rsidRPr="00096460">
        <w:rPr>
          <w:rFonts w:cstheme="minorHAnsi"/>
          <w:i/>
        </w:rPr>
        <w:t xml:space="preserve"> Community Schools</w:t>
      </w:r>
      <w:r w:rsidR="004D11BA" w:rsidRPr="00096460">
        <w:rPr>
          <w:rFonts w:cstheme="minorHAnsi"/>
          <w:i/>
        </w:rPr>
        <w:t xml:space="preserve"> v. Seattle School District No. 1 et a</w:t>
      </w:r>
      <w:r w:rsidR="007A6D8C" w:rsidRPr="00096460">
        <w:rPr>
          <w:rFonts w:cstheme="minorHAnsi"/>
          <w:i/>
        </w:rPr>
        <w:t xml:space="preserve">l, </w:t>
      </w:r>
      <w:r w:rsidR="004D11BA" w:rsidRPr="00096460">
        <w:rPr>
          <w:rFonts w:cstheme="minorHAnsi"/>
          <w:i/>
        </w:rPr>
        <w:t>l</w:t>
      </w:r>
      <w:r w:rsidR="007A6D8C" w:rsidRPr="00096460">
        <w:rPr>
          <w:rFonts w:cstheme="minorHAnsi"/>
          <w:i/>
        </w:rPr>
        <w:t>551 US 701 (2007)</w:t>
      </w:r>
      <w:r w:rsidR="004D11BA" w:rsidRPr="00096460">
        <w:rPr>
          <w:rFonts w:cstheme="minorHAnsi"/>
          <w:i/>
        </w:rPr>
        <w:t>.</w:t>
      </w:r>
      <w:r w:rsidR="00096460" w:rsidRPr="00096460">
        <w:rPr>
          <w:rFonts w:cstheme="minorHAnsi"/>
          <w:i/>
        </w:rPr>
        <w:t xml:space="preserve"> </w:t>
      </w:r>
      <w:r w:rsidR="004D11BA" w:rsidRPr="00096460">
        <w:rPr>
          <w:rFonts w:cstheme="minorHAnsi"/>
        </w:rPr>
        <w:t xml:space="preserve">By a 5-4 vote, the Court applied "strict scrutiny" and </w:t>
      </w:r>
      <w:r w:rsidR="00096460">
        <w:rPr>
          <w:rFonts w:cstheme="minorHAnsi"/>
        </w:rPr>
        <w:t xml:space="preserve">ruled that </w:t>
      </w:r>
      <w:r w:rsidR="004D11BA" w:rsidRPr="00096460">
        <w:rPr>
          <w:rFonts w:cstheme="minorHAnsi"/>
        </w:rPr>
        <w:t xml:space="preserve">the District's racial tiebreaker plan </w:t>
      </w:r>
      <w:r w:rsidR="00096460">
        <w:rPr>
          <w:rFonts w:cstheme="minorHAnsi"/>
        </w:rPr>
        <w:t xml:space="preserve">was </w:t>
      </w:r>
      <w:r w:rsidR="004D11BA" w:rsidRPr="00096460">
        <w:rPr>
          <w:rFonts w:cstheme="minorHAnsi"/>
        </w:rPr>
        <w:t>unconstitutional under the Equal Protection Clause of the Fourteenth Amendment. In a separate opinion concurring in the judgment, Justice Kennedy agreed that the District's use of race was unconstitutional but stressed that public schools may sometimes consider race to ensure equal educational opportunity.</w:t>
      </w:r>
    </w:p>
    <w:p w14:paraId="2DA4F4B7" w14:textId="77777777" w:rsidR="005F65B1" w:rsidRDefault="005F65B1" w:rsidP="004D11BA">
      <w:pPr>
        <w:pStyle w:val="NoSpacing"/>
        <w:ind w:left="1800"/>
        <w:rPr>
          <w:rFonts w:cstheme="minorHAnsi"/>
        </w:rPr>
      </w:pPr>
    </w:p>
    <w:p w14:paraId="6541C0A2" w14:textId="20C4FC41" w:rsidR="005F66AF" w:rsidRDefault="005F66AF" w:rsidP="005F66AF">
      <w:pPr>
        <w:pStyle w:val="NoSpacing"/>
        <w:numPr>
          <w:ilvl w:val="0"/>
          <w:numId w:val="1"/>
        </w:numPr>
        <w:rPr>
          <w:rFonts w:cstheme="minorHAnsi"/>
        </w:rPr>
      </w:pPr>
      <w:r>
        <w:rPr>
          <w:rFonts w:cstheme="minorHAnsi"/>
        </w:rPr>
        <w:t xml:space="preserve"> Does Judge Kavanaugh believe the following equal employment opportunity </w:t>
      </w:r>
      <w:r w:rsidR="00BB278A">
        <w:rPr>
          <w:rFonts w:cstheme="minorHAnsi"/>
        </w:rPr>
        <w:t xml:space="preserve">and marriage equality </w:t>
      </w:r>
      <w:r>
        <w:rPr>
          <w:rFonts w:cstheme="minorHAnsi"/>
        </w:rPr>
        <w:t>cases were correctly decided?</w:t>
      </w:r>
      <w:r w:rsidR="00242D0C">
        <w:rPr>
          <w:rFonts w:cstheme="minorHAnsi"/>
        </w:rPr>
        <w:t xml:space="preserve"> If not, why not?</w:t>
      </w:r>
    </w:p>
    <w:p w14:paraId="7961A6B6" w14:textId="5A4EB013" w:rsidR="005F66AF" w:rsidRDefault="005F66AF" w:rsidP="007A6D8C">
      <w:pPr>
        <w:pStyle w:val="NoSpacing"/>
        <w:numPr>
          <w:ilvl w:val="1"/>
          <w:numId w:val="1"/>
        </w:numPr>
        <w:rPr>
          <w:rFonts w:cstheme="minorHAnsi"/>
        </w:rPr>
      </w:pPr>
      <w:r w:rsidRPr="005F66AF">
        <w:rPr>
          <w:rFonts w:cstheme="minorHAnsi"/>
          <w:i/>
        </w:rPr>
        <w:t>Griggs v. Duke Power Company</w:t>
      </w:r>
      <w:r w:rsidR="007A6D8C">
        <w:rPr>
          <w:rFonts w:cstheme="minorHAnsi"/>
          <w:i/>
        </w:rPr>
        <w:t xml:space="preserve">, </w:t>
      </w:r>
      <w:r w:rsidR="007A6D8C" w:rsidRPr="007A6D8C">
        <w:rPr>
          <w:rFonts w:cstheme="minorHAnsi"/>
          <w:i/>
        </w:rPr>
        <w:t>401 US 424 (1971)</w:t>
      </w:r>
      <w:r w:rsidR="005E40A6" w:rsidRPr="005E40A6">
        <w:rPr>
          <w:rFonts w:cstheme="minorHAnsi"/>
        </w:rPr>
        <w:t xml:space="preserve">. </w:t>
      </w:r>
      <w:r w:rsidR="00242D0C" w:rsidRPr="005E40A6">
        <w:rPr>
          <w:rFonts w:cstheme="minorHAnsi"/>
        </w:rPr>
        <w:t xml:space="preserve">In </w:t>
      </w:r>
      <w:r w:rsidR="00242D0C" w:rsidRPr="005E40A6">
        <w:rPr>
          <w:rFonts w:cstheme="minorHAnsi"/>
          <w:i/>
        </w:rPr>
        <w:t>Griggs v. Duke Power Co</w:t>
      </w:r>
      <w:r w:rsidR="00242D0C" w:rsidRPr="005E40A6">
        <w:rPr>
          <w:rFonts w:cstheme="minorHAnsi"/>
        </w:rPr>
        <w:t>., the Supreme Court decide</w:t>
      </w:r>
      <w:r w:rsidR="00096460">
        <w:rPr>
          <w:rFonts w:cstheme="minorHAnsi"/>
        </w:rPr>
        <w:t>d</w:t>
      </w:r>
      <w:r w:rsidR="00242D0C" w:rsidRPr="005E40A6">
        <w:rPr>
          <w:rFonts w:cstheme="minorHAnsi"/>
        </w:rPr>
        <w:t xml:space="preserve"> that where an employer uses a neutral policy or rule, or utilizes a neutral test, and this policy or test disproportionately affects minorities or women in an adverse manner, the employer must justify the rule or test by proving it is justified by business necessity.</w:t>
      </w:r>
    </w:p>
    <w:p w14:paraId="0B14CFF1" w14:textId="5E3FF8B5" w:rsidR="003E3DDA" w:rsidRPr="00B560A9" w:rsidRDefault="003E3DDA" w:rsidP="007A6D8C">
      <w:pPr>
        <w:pStyle w:val="NoSpacing"/>
        <w:numPr>
          <w:ilvl w:val="1"/>
          <w:numId w:val="1"/>
        </w:numPr>
        <w:rPr>
          <w:rFonts w:cstheme="minorHAnsi"/>
        </w:rPr>
      </w:pPr>
      <w:r>
        <w:rPr>
          <w:rFonts w:cstheme="minorHAnsi"/>
          <w:i/>
        </w:rPr>
        <w:t>Johnson v. Transportation Agency</w:t>
      </w:r>
      <w:r w:rsidR="002A71BF">
        <w:rPr>
          <w:rFonts w:cstheme="minorHAnsi"/>
          <w:i/>
        </w:rPr>
        <w:t>,</w:t>
      </w:r>
      <w:r>
        <w:rPr>
          <w:rFonts w:cstheme="minorHAnsi"/>
          <w:i/>
        </w:rPr>
        <w:t xml:space="preserve"> Santa Clara County</w:t>
      </w:r>
      <w:r w:rsidR="007A6D8C">
        <w:rPr>
          <w:rFonts w:cstheme="minorHAnsi"/>
          <w:i/>
        </w:rPr>
        <w:t xml:space="preserve">, </w:t>
      </w:r>
      <w:r w:rsidR="007A6D8C" w:rsidRPr="007A6D8C">
        <w:rPr>
          <w:rFonts w:cstheme="minorHAnsi"/>
          <w:i/>
        </w:rPr>
        <w:t>480 US 616 (1987)</w:t>
      </w:r>
      <w:r w:rsidRPr="00B560A9">
        <w:rPr>
          <w:rFonts w:cstheme="minorHAnsi"/>
        </w:rPr>
        <w:t xml:space="preserve">.  In </w:t>
      </w:r>
      <w:r w:rsidRPr="00B560A9">
        <w:rPr>
          <w:rFonts w:cstheme="minorHAnsi"/>
          <w:i/>
        </w:rPr>
        <w:t>Johnson,</w:t>
      </w:r>
      <w:r w:rsidRPr="00B560A9">
        <w:rPr>
          <w:rFonts w:cstheme="minorHAnsi"/>
        </w:rPr>
        <w:t xml:space="preserve"> the Court affirmed the promotion procedures of the Agency. Justice Brennan argued that it was not unreasonable to consider sex as one factor among </w:t>
      </w:r>
      <w:r w:rsidRPr="00B560A9">
        <w:rPr>
          <w:rFonts w:cstheme="minorHAnsi"/>
        </w:rPr>
        <w:lastRenderedPageBreak/>
        <w:t>many in making promotion decisions, and that the Agency's actions did not create an absolute barrier to the advancement of men.</w:t>
      </w:r>
    </w:p>
    <w:p w14:paraId="1F7FE090" w14:textId="3CA20764" w:rsidR="004D11BA" w:rsidRPr="005E40A6" w:rsidRDefault="004D11BA" w:rsidP="007A6D8C">
      <w:pPr>
        <w:pStyle w:val="NoSpacing"/>
        <w:numPr>
          <w:ilvl w:val="1"/>
          <w:numId w:val="1"/>
        </w:numPr>
        <w:rPr>
          <w:rFonts w:cstheme="minorHAnsi"/>
        </w:rPr>
      </w:pPr>
      <w:r w:rsidRPr="004D11BA">
        <w:rPr>
          <w:rFonts w:cstheme="minorHAnsi"/>
          <w:i/>
        </w:rPr>
        <w:t>United Steelworkers of America, AFL-CIO-CLC v. Weber</w:t>
      </w:r>
      <w:r w:rsidR="007A6D8C">
        <w:rPr>
          <w:rFonts w:cstheme="minorHAnsi"/>
        </w:rPr>
        <w:t xml:space="preserve">, </w:t>
      </w:r>
      <w:r w:rsidR="007A6D8C" w:rsidRPr="007A6D8C">
        <w:rPr>
          <w:rFonts w:cstheme="minorHAnsi"/>
        </w:rPr>
        <w:t>443 US 193 (1979)</w:t>
      </w:r>
      <w:r>
        <w:rPr>
          <w:rFonts w:cstheme="minorHAnsi"/>
        </w:rPr>
        <w:t xml:space="preserve">.  </w:t>
      </w:r>
      <w:r w:rsidRPr="004D11BA">
        <w:rPr>
          <w:rFonts w:cstheme="minorHAnsi"/>
        </w:rPr>
        <w:t>The United Steelworkers of America and the Kaiser Aluminum and Chemical Corporation implemented an affirmative action-based training program to increase the number of the company's black skilled craft workers. Half of the eligible positions in the training program were reserved for blacks. Weber, who was white, was passed over for the program. Weber claimed that he was the victim of reverse discrimination.</w:t>
      </w:r>
      <w:r w:rsidRPr="004D11BA">
        <w:t xml:space="preserve"> </w:t>
      </w:r>
      <w:r w:rsidRPr="004D11BA">
        <w:rPr>
          <w:rFonts w:cstheme="minorHAnsi"/>
        </w:rPr>
        <w:t xml:space="preserve">The Court held that the training </w:t>
      </w:r>
      <w:r w:rsidR="002A71BF">
        <w:rPr>
          <w:rFonts w:cstheme="minorHAnsi"/>
        </w:rPr>
        <w:t>program</w:t>
      </w:r>
      <w:r w:rsidRPr="004D11BA">
        <w:rPr>
          <w:rFonts w:cstheme="minorHAnsi"/>
        </w:rPr>
        <w:t xml:space="preserve"> was legitimate because the 1964 Act "did not intend to prohibit the private sector from taking effective steps" to implement the goals of Title VII</w:t>
      </w:r>
      <w:r w:rsidR="002A71BF">
        <w:rPr>
          <w:rFonts w:cstheme="minorHAnsi"/>
        </w:rPr>
        <w:t>”</w:t>
      </w:r>
      <w:r w:rsidRPr="004D11BA">
        <w:rPr>
          <w:rFonts w:cstheme="minorHAnsi"/>
        </w:rPr>
        <w:t>. Since the program sought to eliminate archaic patterns of racial segregation and hierarchy while not prohibiting white employees from advancing in the company, it was consistent with the intent of the law.</w:t>
      </w:r>
    </w:p>
    <w:p w14:paraId="0CAA6527" w14:textId="15ADF5C3" w:rsidR="005F66AF" w:rsidRDefault="00242D0C" w:rsidP="007A6D8C">
      <w:pPr>
        <w:pStyle w:val="NoSpacing"/>
        <w:numPr>
          <w:ilvl w:val="1"/>
          <w:numId w:val="1"/>
        </w:numPr>
        <w:rPr>
          <w:rFonts w:cstheme="minorHAnsi"/>
        </w:rPr>
      </w:pPr>
      <w:r w:rsidRPr="00242D0C">
        <w:rPr>
          <w:rFonts w:cstheme="minorHAnsi"/>
          <w:i/>
        </w:rPr>
        <w:t xml:space="preserve">Obergefell v. </w:t>
      </w:r>
      <w:r w:rsidR="007A6D8C" w:rsidRPr="00242D0C">
        <w:rPr>
          <w:rFonts w:cstheme="minorHAnsi"/>
          <w:i/>
        </w:rPr>
        <w:t>Hodges</w:t>
      </w:r>
      <w:r w:rsidR="007A6D8C">
        <w:rPr>
          <w:rFonts w:cstheme="minorHAnsi"/>
          <w:i/>
        </w:rPr>
        <w:t xml:space="preserve">, </w:t>
      </w:r>
      <w:r w:rsidR="007A6D8C" w:rsidRPr="007A6D8C">
        <w:rPr>
          <w:rFonts w:cstheme="minorHAnsi"/>
          <w:i/>
        </w:rPr>
        <w:t>576 US _ (2015)</w:t>
      </w:r>
      <w:r w:rsidR="00B560A9">
        <w:rPr>
          <w:rFonts w:cstheme="minorHAnsi"/>
        </w:rPr>
        <w:t>.</w:t>
      </w:r>
      <w:r>
        <w:rPr>
          <w:rFonts w:cstheme="minorHAnsi"/>
        </w:rPr>
        <w:t xml:space="preserve"> </w:t>
      </w:r>
      <w:r w:rsidR="005E40A6">
        <w:rPr>
          <w:rFonts w:cstheme="minorHAnsi"/>
        </w:rPr>
        <w:t>In this case t</w:t>
      </w:r>
      <w:r w:rsidRPr="00242D0C">
        <w:rPr>
          <w:rFonts w:cstheme="minorHAnsi"/>
        </w:rPr>
        <w:t>he Court held that the Due Process Clause of the Fourteenth Amendment guarantees the right to marry one of the fundamental liberties it protects, and that analysis applies to same-sex couples in the same manner as it does to opposite-sex couples.</w:t>
      </w:r>
    </w:p>
    <w:p w14:paraId="4DB9F40F" w14:textId="77777777" w:rsidR="00EC7088" w:rsidRDefault="00EC7088" w:rsidP="00EC7088">
      <w:pPr>
        <w:pStyle w:val="NoSpacing"/>
        <w:ind w:left="1800"/>
        <w:rPr>
          <w:rFonts w:cstheme="minorHAnsi"/>
        </w:rPr>
      </w:pPr>
    </w:p>
    <w:p w14:paraId="4EE9A24A" w14:textId="34B3AC14" w:rsidR="00EC7088" w:rsidRDefault="005B0452" w:rsidP="00EC7088">
      <w:pPr>
        <w:pStyle w:val="NoSpacing"/>
        <w:numPr>
          <w:ilvl w:val="0"/>
          <w:numId w:val="1"/>
        </w:numPr>
        <w:rPr>
          <w:rFonts w:cstheme="minorHAnsi"/>
        </w:rPr>
      </w:pPr>
      <w:r>
        <w:rPr>
          <w:rFonts w:cstheme="minorHAnsi"/>
        </w:rPr>
        <w:t xml:space="preserve">In the interest of this Committee and the public at large, </w:t>
      </w:r>
      <w:r w:rsidR="00EC7088">
        <w:rPr>
          <w:rFonts w:cstheme="minorHAnsi"/>
        </w:rPr>
        <w:t>please ask Judge Kavanaugh to elaborate on the basis for his dissent</w:t>
      </w:r>
      <w:r>
        <w:rPr>
          <w:rFonts w:cstheme="minorHAnsi"/>
        </w:rPr>
        <w:t xml:space="preserve"> in the following two cases:</w:t>
      </w:r>
      <w:r w:rsidR="00EC7088">
        <w:rPr>
          <w:rFonts w:cstheme="minorHAnsi"/>
        </w:rPr>
        <w:t xml:space="preserve"> </w:t>
      </w:r>
    </w:p>
    <w:p w14:paraId="4F30BF0A" w14:textId="7353C667" w:rsidR="00BB278A" w:rsidRDefault="00BB278A" w:rsidP="00BB278A">
      <w:pPr>
        <w:pStyle w:val="NoSpacing"/>
        <w:numPr>
          <w:ilvl w:val="1"/>
          <w:numId w:val="1"/>
        </w:numPr>
        <w:rPr>
          <w:rFonts w:cstheme="minorHAnsi"/>
        </w:rPr>
      </w:pPr>
      <w:r w:rsidRPr="00BB278A">
        <w:rPr>
          <w:rFonts w:cstheme="minorHAnsi"/>
          <w:i/>
        </w:rPr>
        <w:t>Agri Processor Co. v. N.L.R.B</w:t>
      </w:r>
      <w:r w:rsidRPr="00BB278A">
        <w:rPr>
          <w:rFonts w:cstheme="minorHAnsi"/>
        </w:rPr>
        <w:t>., 514 F.3d 1 (D.C. Cir. 2008).  In this case, Judge Kavanaugh dissented from the ruling of the majority that ordered a company to bargain with a union, reasoning that the employees were ineligible to vote as undocumented immigrants. The majority opinion harshly criticized Kavanaugh’s “misreading” of both the plain-language of the N</w:t>
      </w:r>
      <w:r w:rsidR="002A71BF">
        <w:rPr>
          <w:rFonts w:cstheme="minorHAnsi"/>
        </w:rPr>
        <w:t xml:space="preserve">ational Labor Relations Act </w:t>
      </w:r>
      <w:r w:rsidR="00EC7088">
        <w:rPr>
          <w:rFonts w:cstheme="minorHAnsi"/>
        </w:rPr>
        <w:t xml:space="preserve">(NLRA) </w:t>
      </w:r>
      <w:r w:rsidRPr="00BB278A">
        <w:rPr>
          <w:rFonts w:cstheme="minorHAnsi"/>
        </w:rPr>
        <w:t>and Supreme Court</w:t>
      </w:r>
      <w:r>
        <w:rPr>
          <w:rFonts w:cstheme="minorHAnsi"/>
        </w:rPr>
        <w:t xml:space="preserve"> pre</w:t>
      </w:r>
      <w:r w:rsidRPr="00BB278A">
        <w:rPr>
          <w:rFonts w:cstheme="minorHAnsi"/>
        </w:rPr>
        <w:t xml:space="preserve">cedent in </w:t>
      </w:r>
      <w:r w:rsidRPr="002A71BF">
        <w:rPr>
          <w:rFonts w:cstheme="minorHAnsi"/>
          <w:i/>
        </w:rPr>
        <w:t>Sure-Tan, Inc. v. N.L.R.B</w:t>
      </w:r>
      <w:r w:rsidRPr="00BB278A">
        <w:rPr>
          <w:rFonts w:cstheme="minorHAnsi"/>
        </w:rPr>
        <w:t>., 467 U.S. 883 (1984) (holding that undocumented</w:t>
      </w:r>
      <w:r>
        <w:rPr>
          <w:rFonts w:cstheme="minorHAnsi"/>
        </w:rPr>
        <w:t xml:space="preserve"> </w:t>
      </w:r>
      <w:r w:rsidRPr="00BB278A">
        <w:rPr>
          <w:rFonts w:cstheme="minorHAnsi"/>
        </w:rPr>
        <w:t>immigrants are covered by the NLRA).</w:t>
      </w:r>
      <w:r>
        <w:rPr>
          <w:rFonts w:cstheme="minorHAnsi"/>
        </w:rPr>
        <w:t xml:space="preserve">  </w:t>
      </w:r>
    </w:p>
    <w:p w14:paraId="2FD8F41D" w14:textId="558149C8" w:rsidR="00BB278A" w:rsidRDefault="00BB278A" w:rsidP="00BB278A">
      <w:pPr>
        <w:pStyle w:val="NoSpacing"/>
        <w:numPr>
          <w:ilvl w:val="1"/>
          <w:numId w:val="1"/>
        </w:numPr>
        <w:rPr>
          <w:rFonts w:cstheme="minorHAnsi"/>
        </w:rPr>
      </w:pPr>
      <w:r w:rsidRPr="00BB278A">
        <w:rPr>
          <w:rFonts w:cstheme="minorHAnsi"/>
          <w:i/>
        </w:rPr>
        <w:t>Miller v. Clinton</w:t>
      </w:r>
      <w:r w:rsidRPr="00BB278A">
        <w:rPr>
          <w:rFonts w:cstheme="minorHAnsi"/>
        </w:rPr>
        <w:t>, 687 F.3d 1332 (D.C. Cir. 2012).  In Miller, the majority of the court held that the Department of State could not terminate an employee simply on the basis of his age (65). The majority of the D.C. Circuit not</w:t>
      </w:r>
      <w:r w:rsidR="0092753E">
        <w:rPr>
          <w:rFonts w:cstheme="minorHAnsi"/>
        </w:rPr>
        <w:t>ed:</w:t>
      </w:r>
      <w:r w:rsidRPr="00BB278A">
        <w:rPr>
          <w:rFonts w:cstheme="minorHAnsi"/>
        </w:rPr>
        <w:t xml:space="preserve"> “the necessary consequence of the Department’s position is that it is also free from any statutory bar against terminating an employee like Miller solely on account of his disability or race or religion or sex . . .</w:t>
      </w:r>
      <w:r>
        <w:rPr>
          <w:rFonts w:cstheme="minorHAnsi"/>
        </w:rPr>
        <w:t xml:space="preserve">” </w:t>
      </w:r>
      <w:r w:rsidRPr="00BB278A">
        <w:rPr>
          <w:rFonts w:cstheme="minorHAnsi"/>
        </w:rPr>
        <w:t xml:space="preserve"> Judge Kavanaugh dissented.</w:t>
      </w:r>
    </w:p>
    <w:p w14:paraId="1D11059C" w14:textId="77777777" w:rsidR="005F65B1" w:rsidRDefault="005F65B1" w:rsidP="005F65B1">
      <w:pPr>
        <w:pStyle w:val="NoSpacing"/>
        <w:ind w:left="1800"/>
        <w:rPr>
          <w:rFonts w:cstheme="minorHAnsi"/>
        </w:rPr>
      </w:pPr>
    </w:p>
    <w:p w14:paraId="52D10EA6" w14:textId="2C89D4B9" w:rsidR="002A71BF" w:rsidRPr="00ED76CD" w:rsidRDefault="000934B2" w:rsidP="002A71BF">
      <w:pPr>
        <w:pStyle w:val="NoSpacing"/>
        <w:numPr>
          <w:ilvl w:val="0"/>
          <w:numId w:val="1"/>
        </w:numPr>
        <w:rPr>
          <w:rFonts w:cstheme="minorHAnsi"/>
        </w:rPr>
      </w:pPr>
      <w:r w:rsidRPr="00ED76CD">
        <w:rPr>
          <w:rFonts w:cstheme="minorHAnsi"/>
        </w:rPr>
        <w:t>AAAED would also like to ascertain if Judge Kavanaugh agreed with the recent Department of Education and Justice rescission of the previous administration’s guidance on voluntary affirmative action in higher education admissions.</w:t>
      </w:r>
      <w:r>
        <w:rPr>
          <w:rStyle w:val="FootnoteReference"/>
          <w:rFonts w:cstheme="minorHAnsi"/>
        </w:rPr>
        <w:footnoteReference w:id="1"/>
      </w:r>
      <w:r w:rsidRPr="00ED76CD">
        <w:rPr>
          <w:rFonts w:cstheme="minorHAnsi"/>
        </w:rPr>
        <w:t xml:space="preserve">  Are there any circumstances in which race may be taken into account in deciding who is admitted to a competitive college or university?</w:t>
      </w:r>
    </w:p>
    <w:p w14:paraId="45BBE7DE" w14:textId="77777777" w:rsidR="00A34379" w:rsidRDefault="00A34379" w:rsidP="005F65B1">
      <w:pPr>
        <w:pStyle w:val="NoSpacing"/>
        <w:ind w:left="1080"/>
        <w:rPr>
          <w:rFonts w:cstheme="minorHAnsi"/>
        </w:rPr>
      </w:pPr>
    </w:p>
    <w:p w14:paraId="5E239DFB" w14:textId="1B4A1EAA" w:rsidR="00AF0FE6" w:rsidRDefault="002A71BF" w:rsidP="002A71BF">
      <w:pPr>
        <w:pStyle w:val="NoSpacing"/>
        <w:numPr>
          <w:ilvl w:val="0"/>
          <w:numId w:val="1"/>
        </w:numPr>
        <w:rPr>
          <w:rFonts w:cstheme="minorHAnsi"/>
        </w:rPr>
      </w:pPr>
      <w:r>
        <w:rPr>
          <w:rFonts w:cstheme="minorHAnsi"/>
        </w:rPr>
        <w:t xml:space="preserve">It </w:t>
      </w:r>
      <w:r w:rsidR="0092753E">
        <w:rPr>
          <w:rFonts w:cstheme="minorHAnsi"/>
        </w:rPr>
        <w:t>was</w:t>
      </w:r>
      <w:r>
        <w:rPr>
          <w:rFonts w:cstheme="minorHAnsi"/>
        </w:rPr>
        <w:t xml:space="preserve"> reported that after serving as counsel of record in a </w:t>
      </w:r>
      <w:r w:rsidR="005B7F84">
        <w:rPr>
          <w:rFonts w:cstheme="minorHAnsi"/>
        </w:rPr>
        <w:t xml:space="preserve">1999 </w:t>
      </w:r>
      <w:r>
        <w:rPr>
          <w:rFonts w:cstheme="minorHAnsi"/>
        </w:rPr>
        <w:t>case brought by the Center for Equal Opportunity</w:t>
      </w:r>
      <w:r w:rsidR="008E303F">
        <w:rPr>
          <w:rFonts w:cstheme="minorHAnsi"/>
        </w:rPr>
        <w:t xml:space="preserve"> (CEO)</w:t>
      </w:r>
      <w:r>
        <w:rPr>
          <w:rFonts w:cstheme="minorHAnsi"/>
        </w:rPr>
        <w:t>, a group that openly opposes affirmative action</w:t>
      </w:r>
      <w:r w:rsidR="008E303F">
        <w:rPr>
          <w:rStyle w:val="FootnoteReference"/>
          <w:rFonts w:cstheme="minorHAnsi"/>
        </w:rPr>
        <w:footnoteReference w:id="2"/>
      </w:r>
      <w:r>
        <w:rPr>
          <w:rFonts w:cstheme="minorHAnsi"/>
        </w:rPr>
        <w:t xml:space="preserve">,  Judge Kavanaugh was asked about his brief and the implications for affirmative action.  He reportedly </w:t>
      </w:r>
      <w:r w:rsidR="00ED76CD">
        <w:rPr>
          <w:rFonts w:cstheme="minorHAnsi"/>
        </w:rPr>
        <w:t>responded, “</w:t>
      </w:r>
      <w:r w:rsidRPr="002A71BF">
        <w:rPr>
          <w:rFonts w:cstheme="minorHAnsi"/>
        </w:rPr>
        <w:t xml:space="preserve">The Supreme Court has decided many cases on affirmative action </w:t>
      </w:r>
      <w:r w:rsidRPr="002A71BF">
        <w:rPr>
          <w:rFonts w:cstheme="minorHAnsi"/>
        </w:rPr>
        <w:lastRenderedPageBreak/>
        <w:t>programs and, if confirmed, I would faithfully follow those precedents.”</w:t>
      </w:r>
      <w:r w:rsidR="00AD5356">
        <w:rPr>
          <w:rStyle w:val="FootnoteReference"/>
          <w:rFonts w:cstheme="minorHAnsi"/>
        </w:rPr>
        <w:footnoteReference w:id="3"/>
      </w:r>
      <w:r w:rsidR="00ED76CD">
        <w:rPr>
          <w:rFonts w:cstheme="minorHAnsi"/>
        </w:rPr>
        <w:t xml:space="preserve"> Does Judge Kavanaugh continue to maintain this position? </w:t>
      </w:r>
    </w:p>
    <w:p w14:paraId="0CE24BD4" w14:textId="43B6D376" w:rsidR="001E07AB" w:rsidRDefault="001E07AB" w:rsidP="001E07AB">
      <w:pPr>
        <w:pStyle w:val="NoSpacing"/>
        <w:rPr>
          <w:rFonts w:cstheme="minorHAnsi"/>
        </w:rPr>
      </w:pPr>
    </w:p>
    <w:p w14:paraId="1A5015CB" w14:textId="7BF6ABD0" w:rsidR="000934B2" w:rsidRDefault="00AF0FE6" w:rsidP="000934B2">
      <w:pPr>
        <w:pStyle w:val="NoSpacing"/>
        <w:rPr>
          <w:rFonts w:cstheme="minorHAnsi"/>
        </w:rPr>
      </w:pPr>
      <w:r>
        <w:rPr>
          <w:rFonts w:cstheme="minorHAnsi"/>
        </w:rPr>
        <w:t>The American Association for Access, Equity and Diversity (AAAED) thanks you for your kind consideration of our request.  On the 150</w:t>
      </w:r>
      <w:r w:rsidRPr="00AF0FE6">
        <w:rPr>
          <w:rFonts w:cstheme="minorHAnsi"/>
          <w:vertAlign w:val="superscript"/>
        </w:rPr>
        <w:t>th</w:t>
      </w:r>
      <w:r>
        <w:rPr>
          <w:rFonts w:cstheme="minorHAnsi"/>
        </w:rPr>
        <w:t xml:space="preserve"> Anniversary of the </w:t>
      </w:r>
      <w:r w:rsidR="00D065F2">
        <w:rPr>
          <w:rFonts w:cstheme="minorHAnsi"/>
        </w:rPr>
        <w:t xml:space="preserve">ratification of the </w:t>
      </w:r>
      <w:r>
        <w:rPr>
          <w:rFonts w:cstheme="minorHAnsi"/>
        </w:rPr>
        <w:t xml:space="preserve">Fourteenth Amendment, </w:t>
      </w:r>
      <w:r w:rsidR="006C3872">
        <w:rPr>
          <w:rFonts w:cstheme="minorHAnsi"/>
        </w:rPr>
        <w:t xml:space="preserve">which codified the principles of equal protection and due process of law into our Constitution, </w:t>
      </w:r>
      <w:r>
        <w:rPr>
          <w:rFonts w:cstheme="minorHAnsi"/>
        </w:rPr>
        <w:t>the stakes could not be higher</w:t>
      </w:r>
      <w:r w:rsidR="006C3872">
        <w:rPr>
          <w:rFonts w:cstheme="minorHAnsi"/>
        </w:rPr>
        <w:t xml:space="preserve"> -- </w:t>
      </w:r>
      <w:r>
        <w:rPr>
          <w:rFonts w:cstheme="minorHAnsi"/>
        </w:rPr>
        <w:t>for our members and for the people of this great nation.</w:t>
      </w:r>
      <w:r w:rsidR="00336E96">
        <w:rPr>
          <w:rFonts w:cstheme="minorHAnsi"/>
        </w:rPr>
        <w:t xml:space="preserve">  We would be pleased to answer any questions you may have concerning our request.</w:t>
      </w:r>
    </w:p>
    <w:p w14:paraId="674F1661" w14:textId="601A765B" w:rsidR="00336E96" w:rsidRDefault="00336E96" w:rsidP="000934B2">
      <w:pPr>
        <w:pStyle w:val="NoSpacing"/>
        <w:rPr>
          <w:rFonts w:cstheme="minorHAnsi"/>
        </w:rPr>
      </w:pPr>
    </w:p>
    <w:p w14:paraId="584FE79D" w14:textId="1E3C7EC5" w:rsidR="000934B2" w:rsidRDefault="00336E96" w:rsidP="000934B2">
      <w:pPr>
        <w:pStyle w:val="NoSpacing"/>
        <w:rPr>
          <w:rFonts w:cstheme="minorHAnsi"/>
        </w:rPr>
      </w:pPr>
      <w:r>
        <w:rPr>
          <w:rFonts w:cstheme="minorHAnsi"/>
        </w:rPr>
        <w:t>Respectfully,</w:t>
      </w:r>
    </w:p>
    <w:p w14:paraId="11D81F1D" w14:textId="6DC9AAEA" w:rsidR="005F65B1" w:rsidRDefault="005F65B1" w:rsidP="000934B2">
      <w:pPr>
        <w:pStyle w:val="NoSpacing"/>
        <w:rPr>
          <w:rFonts w:cstheme="minorHAnsi"/>
        </w:rPr>
      </w:pPr>
    </w:p>
    <w:p w14:paraId="3E4B543F" w14:textId="41A567DD" w:rsidR="00F1704D" w:rsidRDefault="00F1704D" w:rsidP="000934B2">
      <w:pPr>
        <w:pStyle w:val="NoSpacing"/>
        <w:rPr>
          <w:rFonts w:ascii="Monotype Corsiva" w:hAnsi="Monotype Corsiva" w:cstheme="minorHAnsi"/>
          <w:sz w:val="36"/>
          <w:szCs w:val="36"/>
        </w:rPr>
      </w:pPr>
      <w:r>
        <w:rPr>
          <w:rFonts w:ascii="Monotype Corsiva" w:hAnsi="Monotype Corsiva" w:cstheme="minorHAnsi"/>
          <w:sz w:val="36"/>
          <w:szCs w:val="36"/>
        </w:rPr>
        <w:t xml:space="preserve">Richard Anthony Baker, </w:t>
      </w:r>
    </w:p>
    <w:p w14:paraId="59D1F731" w14:textId="08FE18D3" w:rsidR="00F1704D" w:rsidRDefault="00F1704D" w:rsidP="000934B2">
      <w:pPr>
        <w:pStyle w:val="NoSpacing"/>
        <w:rPr>
          <w:rFonts w:ascii="Calibri" w:hAnsi="Calibri" w:cs="Calibri"/>
        </w:rPr>
      </w:pPr>
      <w:r>
        <w:rPr>
          <w:rFonts w:ascii="Calibri" w:hAnsi="Calibri" w:cs="Calibri"/>
        </w:rPr>
        <w:t>Richard Anthony Baker, M.P.A., J.D., Ph.D.</w:t>
      </w:r>
    </w:p>
    <w:p w14:paraId="170B18D1" w14:textId="5C4E9555" w:rsidR="00F1704D" w:rsidRPr="00F1704D" w:rsidRDefault="00F1704D" w:rsidP="000934B2">
      <w:pPr>
        <w:pStyle w:val="NoSpacing"/>
        <w:rPr>
          <w:rFonts w:ascii="Calibri" w:hAnsi="Calibri" w:cs="Calibri"/>
        </w:rPr>
      </w:pPr>
      <w:r>
        <w:rPr>
          <w:rFonts w:ascii="Calibri" w:hAnsi="Calibri" w:cs="Calibri"/>
        </w:rPr>
        <w:t>President, AAAED</w:t>
      </w:r>
    </w:p>
    <w:p w14:paraId="7535526B" w14:textId="77777777" w:rsidR="00F1704D" w:rsidRDefault="00F1704D" w:rsidP="000934B2">
      <w:pPr>
        <w:pStyle w:val="NoSpacing"/>
        <w:rPr>
          <w:rFonts w:ascii="Monotype Corsiva" w:hAnsi="Monotype Corsiva" w:cstheme="minorHAnsi"/>
          <w:sz w:val="36"/>
          <w:szCs w:val="36"/>
        </w:rPr>
      </w:pPr>
    </w:p>
    <w:p w14:paraId="135B1F96" w14:textId="6AEBDAC9" w:rsidR="00336E96" w:rsidRPr="00B560A9" w:rsidRDefault="007A24EB" w:rsidP="000934B2">
      <w:pPr>
        <w:pStyle w:val="NoSpacing"/>
        <w:rPr>
          <w:rFonts w:ascii="Monotype Corsiva" w:hAnsi="Monotype Corsiva" w:cstheme="minorHAnsi"/>
          <w:sz w:val="36"/>
          <w:szCs w:val="36"/>
        </w:rPr>
      </w:pPr>
      <w:r>
        <w:rPr>
          <w:rFonts w:ascii="Monotype Corsiva" w:hAnsi="Monotype Corsiva" w:cstheme="minorHAnsi"/>
          <w:sz w:val="36"/>
          <w:szCs w:val="36"/>
        </w:rPr>
        <w:t>Shirley J. Wilcher</w:t>
      </w:r>
    </w:p>
    <w:p w14:paraId="75ECF33E" w14:textId="262E9D47" w:rsidR="005F65B1" w:rsidRDefault="007A24EB" w:rsidP="000934B2">
      <w:pPr>
        <w:pStyle w:val="NoSpacing"/>
        <w:rPr>
          <w:rFonts w:cstheme="minorHAnsi"/>
        </w:rPr>
      </w:pPr>
      <w:r>
        <w:rPr>
          <w:rFonts w:cstheme="minorHAnsi"/>
        </w:rPr>
        <w:t>Shirley J. Wilcher, M.A., J.D., CAAP</w:t>
      </w:r>
    </w:p>
    <w:p w14:paraId="749CE2B6" w14:textId="533485B9" w:rsidR="00336E96" w:rsidRDefault="007A24EB" w:rsidP="000934B2">
      <w:pPr>
        <w:pStyle w:val="NoSpacing"/>
        <w:rPr>
          <w:rFonts w:cstheme="minorHAnsi"/>
        </w:rPr>
      </w:pPr>
      <w:r>
        <w:rPr>
          <w:rFonts w:cstheme="minorHAnsi"/>
        </w:rPr>
        <w:t>Executive Director, AAAED</w:t>
      </w:r>
    </w:p>
    <w:p w14:paraId="7D7CC23C" w14:textId="36347BE5" w:rsidR="00B560A9" w:rsidRDefault="00B560A9" w:rsidP="000934B2">
      <w:pPr>
        <w:pStyle w:val="NoSpacing"/>
        <w:rPr>
          <w:rFonts w:cstheme="minorHAnsi"/>
        </w:rPr>
      </w:pPr>
    </w:p>
    <w:p w14:paraId="1681E306" w14:textId="77777777" w:rsidR="00B560A9" w:rsidRDefault="00B560A9" w:rsidP="000934B2">
      <w:pPr>
        <w:pStyle w:val="NoSpacing"/>
        <w:rPr>
          <w:rFonts w:cstheme="minorHAnsi"/>
        </w:rPr>
      </w:pPr>
    </w:p>
    <w:p w14:paraId="1FE1CD2E" w14:textId="34892F02" w:rsidR="00B560A9" w:rsidRDefault="00B560A9" w:rsidP="000934B2">
      <w:pPr>
        <w:pStyle w:val="NoSpacing"/>
        <w:rPr>
          <w:rFonts w:cstheme="minorHAnsi"/>
        </w:rPr>
      </w:pPr>
    </w:p>
    <w:p w14:paraId="0DDD3CA4" w14:textId="77777777" w:rsidR="00B560A9" w:rsidRPr="00BB278A" w:rsidRDefault="00B560A9" w:rsidP="000934B2">
      <w:pPr>
        <w:pStyle w:val="NoSpacing"/>
        <w:rPr>
          <w:rFonts w:cstheme="minorHAnsi"/>
        </w:rPr>
      </w:pPr>
    </w:p>
    <w:p w14:paraId="735CF0E7" w14:textId="5E1CE8E2" w:rsidR="00BB278A" w:rsidRDefault="00BB278A" w:rsidP="00BB278A">
      <w:pPr>
        <w:pStyle w:val="NoSpacing"/>
        <w:ind w:left="1080"/>
        <w:rPr>
          <w:rFonts w:cstheme="minorHAnsi"/>
        </w:rPr>
      </w:pPr>
    </w:p>
    <w:p w14:paraId="100FCC0D" w14:textId="2A652524" w:rsidR="00242D0C" w:rsidRDefault="000934B2" w:rsidP="00242D0C">
      <w:pPr>
        <w:pStyle w:val="NoSpacing"/>
        <w:rPr>
          <w:rFonts w:cstheme="minorHAnsi"/>
        </w:rPr>
      </w:pPr>
      <w:r>
        <w:rPr>
          <w:rFonts w:cstheme="minorHAnsi"/>
        </w:rPr>
        <w:t xml:space="preserve"> </w:t>
      </w:r>
    </w:p>
    <w:p w14:paraId="18471698" w14:textId="7A3A9444" w:rsidR="00242D0C" w:rsidRDefault="00242D0C" w:rsidP="00242D0C">
      <w:pPr>
        <w:pStyle w:val="NoSpacing"/>
        <w:rPr>
          <w:rFonts w:cstheme="minorHAnsi"/>
        </w:rPr>
      </w:pPr>
    </w:p>
    <w:p w14:paraId="3456E6BF" w14:textId="77777777" w:rsidR="00242D0C" w:rsidRDefault="00242D0C" w:rsidP="00242D0C">
      <w:pPr>
        <w:pStyle w:val="NoSpacing"/>
        <w:rPr>
          <w:rFonts w:cstheme="minorHAnsi"/>
        </w:rPr>
      </w:pPr>
    </w:p>
    <w:p w14:paraId="16E85677" w14:textId="77777777" w:rsidR="003815B3" w:rsidRPr="00DE63AE" w:rsidRDefault="003815B3" w:rsidP="001B10AA">
      <w:pPr>
        <w:pStyle w:val="NoSpacing"/>
        <w:rPr>
          <w:rFonts w:cstheme="minorHAnsi"/>
        </w:rPr>
      </w:pPr>
    </w:p>
    <w:p w14:paraId="6A49BE9D" w14:textId="0F91025E" w:rsidR="00E375FC" w:rsidRDefault="00E375FC" w:rsidP="001B10AA">
      <w:pPr>
        <w:pStyle w:val="NoSpacing"/>
        <w:rPr>
          <w:rFonts w:ascii="Times New Roman" w:hAnsi="Times New Roman" w:cs="Times New Roman"/>
        </w:rPr>
      </w:pPr>
    </w:p>
    <w:p w14:paraId="2A226D65" w14:textId="77777777" w:rsidR="00E375FC" w:rsidRDefault="00E375FC" w:rsidP="001B10AA">
      <w:pPr>
        <w:pStyle w:val="NoSpacing"/>
        <w:rPr>
          <w:rFonts w:ascii="Times New Roman" w:hAnsi="Times New Roman" w:cs="Times New Roman"/>
        </w:rPr>
      </w:pPr>
    </w:p>
    <w:p w14:paraId="05CB85CD" w14:textId="77777777" w:rsidR="00E375FC" w:rsidRDefault="00E375FC" w:rsidP="001B10AA">
      <w:pPr>
        <w:pStyle w:val="NoSpacing"/>
        <w:rPr>
          <w:rFonts w:ascii="Times New Roman" w:hAnsi="Times New Roman" w:cs="Times New Roman"/>
        </w:rPr>
      </w:pPr>
    </w:p>
    <w:p w14:paraId="6BD8AF3C" w14:textId="77777777" w:rsidR="00900143" w:rsidRPr="00900143" w:rsidRDefault="00900143" w:rsidP="00900143">
      <w:pPr>
        <w:pStyle w:val="NoSpacing"/>
        <w:rPr>
          <w:rFonts w:ascii="Times New Roman" w:hAnsi="Times New Roman" w:cs="Times New Roman"/>
        </w:rPr>
      </w:pPr>
    </w:p>
    <w:p w14:paraId="72C77F9D" w14:textId="77777777" w:rsidR="00900143" w:rsidRPr="00900143" w:rsidRDefault="00900143" w:rsidP="00900143">
      <w:pPr>
        <w:pStyle w:val="NoSpacing"/>
        <w:rPr>
          <w:rFonts w:ascii="Times New Roman" w:hAnsi="Times New Roman" w:cs="Times New Roman"/>
        </w:rPr>
      </w:pPr>
    </w:p>
    <w:sectPr w:rsidR="00900143" w:rsidRPr="009001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57D8D" w14:textId="77777777" w:rsidR="0079474A" w:rsidRDefault="0079474A" w:rsidP="00F16FCB">
      <w:pPr>
        <w:spacing w:after="0" w:line="240" w:lineRule="auto"/>
      </w:pPr>
      <w:r>
        <w:separator/>
      </w:r>
    </w:p>
  </w:endnote>
  <w:endnote w:type="continuationSeparator" w:id="0">
    <w:p w14:paraId="569A4C34" w14:textId="77777777" w:rsidR="0079474A" w:rsidRDefault="0079474A" w:rsidP="00F1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PremrPro">
    <w:altName w:val="Calibri"/>
    <w:panose1 w:val="00000000000000000000"/>
    <w:charset w:val="4D"/>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518345"/>
      <w:docPartObj>
        <w:docPartGallery w:val="Page Numbers (Bottom of Page)"/>
        <w:docPartUnique/>
      </w:docPartObj>
    </w:sdtPr>
    <w:sdtEndPr>
      <w:rPr>
        <w:noProof/>
      </w:rPr>
    </w:sdtEndPr>
    <w:sdtContent>
      <w:p w14:paraId="73CA8A12" w14:textId="77777777" w:rsidR="00F16FCB" w:rsidRDefault="00F16FCB">
        <w:pPr>
          <w:pStyle w:val="Footer"/>
          <w:jc w:val="center"/>
        </w:pPr>
        <w:r>
          <w:fldChar w:fldCharType="begin"/>
        </w:r>
        <w:r>
          <w:instrText xml:space="preserve"> PAGE   \* MERGEFORMAT </w:instrText>
        </w:r>
        <w:r>
          <w:fldChar w:fldCharType="separate"/>
        </w:r>
        <w:r w:rsidR="00092A6E">
          <w:rPr>
            <w:noProof/>
          </w:rPr>
          <w:t>3</w:t>
        </w:r>
        <w:r>
          <w:rPr>
            <w:noProof/>
          </w:rPr>
          <w:fldChar w:fldCharType="end"/>
        </w:r>
      </w:p>
    </w:sdtContent>
  </w:sdt>
  <w:p w14:paraId="3C1FC1B6" w14:textId="77777777" w:rsidR="00F16FCB" w:rsidRDefault="00F1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80F1" w14:textId="77777777" w:rsidR="0079474A" w:rsidRDefault="0079474A" w:rsidP="00F16FCB">
      <w:pPr>
        <w:spacing w:after="0" w:line="240" w:lineRule="auto"/>
      </w:pPr>
      <w:r>
        <w:separator/>
      </w:r>
    </w:p>
  </w:footnote>
  <w:footnote w:type="continuationSeparator" w:id="0">
    <w:p w14:paraId="71A71681" w14:textId="77777777" w:rsidR="0079474A" w:rsidRDefault="0079474A" w:rsidP="00F16FCB">
      <w:pPr>
        <w:spacing w:after="0" w:line="240" w:lineRule="auto"/>
      </w:pPr>
      <w:r>
        <w:continuationSeparator/>
      </w:r>
    </w:p>
  </w:footnote>
  <w:footnote w:id="1">
    <w:p w14:paraId="2CBD2C7A" w14:textId="379B1DE7" w:rsidR="000934B2" w:rsidRPr="008E303F" w:rsidRDefault="000934B2">
      <w:pPr>
        <w:pStyle w:val="FootnoteText"/>
        <w:rPr>
          <w:sz w:val="16"/>
          <w:szCs w:val="16"/>
        </w:rPr>
      </w:pPr>
      <w:r>
        <w:rPr>
          <w:rStyle w:val="FootnoteReference"/>
        </w:rPr>
        <w:footnoteRef/>
      </w:r>
      <w:r>
        <w:t xml:space="preserve"> </w:t>
      </w:r>
      <w:r w:rsidR="001E4C5E">
        <w:t xml:space="preserve"> </w:t>
      </w:r>
      <w:r w:rsidR="001E4C5E" w:rsidRPr="008E303F">
        <w:rPr>
          <w:sz w:val="16"/>
          <w:szCs w:val="16"/>
        </w:rPr>
        <w:t xml:space="preserve">Attorney General Jeff Sessions Rescinds 24 Guidance Documents,  </w:t>
      </w:r>
      <w:hyperlink r:id="rId1" w:history="1">
        <w:r w:rsidR="001E4C5E" w:rsidRPr="008E303F">
          <w:rPr>
            <w:rStyle w:val="Hyperlink"/>
            <w:sz w:val="16"/>
            <w:szCs w:val="16"/>
          </w:rPr>
          <w:t>https://www.justice.gov/opa/pr/attorney-general-jeff-sessions-rescinds-24-guidance-documents</w:t>
        </w:r>
      </w:hyperlink>
      <w:r w:rsidR="001E4C5E" w:rsidRPr="008E303F">
        <w:rPr>
          <w:sz w:val="16"/>
          <w:szCs w:val="16"/>
        </w:rPr>
        <w:t>, July 3, 2018.</w:t>
      </w:r>
    </w:p>
  </w:footnote>
  <w:footnote w:id="2">
    <w:p w14:paraId="415DA821" w14:textId="3AB7FBDC" w:rsidR="008E303F" w:rsidRDefault="008E303F">
      <w:pPr>
        <w:pStyle w:val="FootnoteText"/>
      </w:pPr>
      <w:r w:rsidRPr="008E303F">
        <w:rPr>
          <w:rStyle w:val="FootnoteReference"/>
          <w:sz w:val="16"/>
          <w:szCs w:val="16"/>
        </w:rPr>
        <w:footnoteRef/>
      </w:r>
      <w:r w:rsidRPr="008E303F">
        <w:rPr>
          <w:sz w:val="16"/>
          <w:szCs w:val="16"/>
        </w:rPr>
        <w:t xml:space="preserve"> The Center for Equal Opportunity has, for example, an “Affirmative Action Watch” and urges the public to report on cases that CEO would deem discriminatory.  </w:t>
      </w:r>
      <w:r w:rsidRPr="008E303F">
        <w:rPr>
          <w:i/>
          <w:sz w:val="16"/>
          <w:szCs w:val="16"/>
        </w:rPr>
        <w:t>See, e.g.,</w:t>
      </w:r>
      <w:r w:rsidRPr="008E303F">
        <w:rPr>
          <w:sz w:val="16"/>
          <w:szCs w:val="16"/>
        </w:rPr>
        <w:t xml:space="preserve"> http://www.ceousa.org/affirmative-action/affirmative-action-news/affirmative-action-watch</w:t>
      </w:r>
    </w:p>
  </w:footnote>
  <w:footnote w:id="3">
    <w:p w14:paraId="10EE6AC2" w14:textId="739ED3AE" w:rsidR="00AD5356" w:rsidRDefault="00AD5356">
      <w:pPr>
        <w:pStyle w:val="FootnoteText"/>
      </w:pPr>
      <w:r>
        <w:rPr>
          <w:rStyle w:val="FootnoteReference"/>
        </w:rPr>
        <w:footnoteRef/>
      </w:r>
      <w:r>
        <w:t xml:space="preserve"> </w:t>
      </w:r>
      <w:r w:rsidRPr="008E303F">
        <w:rPr>
          <w:sz w:val="16"/>
          <w:szCs w:val="16"/>
        </w:rPr>
        <w:t xml:space="preserve">Mel Leonor, </w:t>
      </w:r>
      <w:r w:rsidRPr="008E303F">
        <w:rPr>
          <w:i/>
          <w:sz w:val="16"/>
          <w:szCs w:val="16"/>
        </w:rPr>
        <w:t>Politico</w:t>
      </w:r>
      <w:r w:rsidRPr="008E303F">
        <w:rPr>
          <w:sz w:val="16"/>
          <w:szCs w:val="16"/>
        </w:rPr>
        <w:t>, “A dig through Kavanaugh’s record on education finds plenty of material,” July 10, 2018, https://www.politico.com/newsletters/morning-education/2018/07/10/a-dig-through-kavanaughs-record-on-education-finds-plenty-of-material-274850</w:t>
      </w:r>
      <w:r w:rsidR="00A34379" w:rsidRPr="00A3437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43FB"/>
    <w:multiLevelType w:val="hybridMultilevel"/>
    <w:tmpl w:val="70F27E1E"/>
    <w:lvl w:ilvl="0" w:tplc="317E19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BB"/>
    <w:rsid w:val="00092A6E"/>
    <w:rsid w:val="0009341D"/>
    <w:rsid w:val="000934B2"/>
    <w:rsid w:val="00096460"/>
    <w:rsid w:val="000D5E83"/>
    <w:rsid w:val="00110C01"/>
    <w:rsid w:val="00155082"/>
    <w:rsid w:val="00160347"/>
    <w:rsid w:val="00186B64"/>
    <w:rsid w:val="001A0BCA"/>
    <w:rsid w:val="001B10AA"/>
    <w:rsid w:val="001C1F44"/>
    <w:rsid w:val="001C344D"/>
    <w:rsid w:val="001D3077"/>
    <w:rsid w:val="001D3FFF"/>
    <w:rsid w:val="001E07AB"/>
    <w:rsid w:val="001E4C5E"/>
    <w:rsid w:val="001F0EDA"/>
    <w:rsid w:val="00210EB3"/>
    <w:rsid w:val="00242D0C"/>
    <w:rsid w:val="00262D2A"/>
    <w:rsid w:val="00287290"/>
    <w:rsid w:val="002A71BF"/>
    <w:rsid w:val="002D3CED"/>
    <w:rsid w:val="002E2B4D"/>
    <w:rsid w:val="003031CD"/>
    <w:rsid w:val="00313062"/>
    <w:rsid w:val="003168CB"/>
    <w:rsid w:val="0032225B"/>
    <w:rsid w:val="0033180C"/>
    <w:rsid w:val="00336E96"/>
    <w:rsid w:val="00337210"/>
    <w:rsid w:val="003474FC"/>
    <w:rsid w:val="00347512"/>
    <w:rsid w:val="003815B3"/>
    <w:rsid w:val="00384312"/>
    <w:rsid w:val="003B5E24"/>
    <w:rsid w:val="003C128A"/>
    <w:rsid w:val="003E3DDA"/>
    <w:rsid w:val="004004DB"/>
    <w:rsid w:val="00402BFF"/>
    <w:rsid w:val="00450857"/>
    <w:rsid w:val="004A5DE6"/>
    <w:rsid w:val="004B0F16"/>
    <w:rsid w:val="004D11BA"/>
    <w:rsid w:val="004E22B9"/>
    <w:rsid w:val="004F4695"/>
    <w:rsid w:val="00507E0A"/>
    <w:rsid w:val="005133AB"/>
    <w:rsid w:val="00515EDD"/>
    <w:rsid w:val="0052769E"/>
    <w:rsid w:val="005402EA"/>
    <w:rsid w:val="00552050"/>
    <w:rsid w:val="0057329E"/>
    <w:rsid w:val="005B0452"/>
    <w:rsid w:val="005B7F84"/>
    <w:rsid w:val="005C14DE"/>
    <w:rsid w:val="005C7DE2"/>
    <w:rsid w:val="005D1B0E"/>
    <w:rsid w:val="005D6F38"/>
    <w:rsid w:val="005E40A6"/>
    <w:rsid w:val="005E5C19"/>
    <w:rsid w:val="005E7895"/>
    <w:rsid w:val="005E7A16"/>
    <w:rsid w:val="005F65B1"/>
    <w:rsid w:val="005F66AF"/>
    <w:rsid w:val="00616149"/>
    <w:rsid w:val="00643B88"/>
    <w:rsid w:val="006520C4"/>
    <w:rsid w:val="00653A84"/>
    <w:rsid w:val="006705B8"/>
    <w:rsid w:val="0068271D"/>
    <w:rsid w:val="006A1418"/>
    <w:rsid w:val="006C3872"/>
    <w:rsid w:val="006C4410"/>
    <w:rsid w:val="006E688D"/>
    <w:rsid w:val="00713F42"/>
    <w:rsid w:val="00791D66"/>
    <w:rsid w:val="0079474A"/>
    <w:rsid w:val="007A24EB"/>
    <w:rsid w:val="007A6D8C"/>
    <w:rsid w:val="007C10F9"/>
    <w:rsid w:val="00837AD9"/>
    <w:rsid w:val="00845B45"/>
    <w:rsid w:val="008526A6"/>
    <w:rsid w:val="00863B19"/>
    <w:rsid w:val="008A08CB"/>
    <w:rsid w:val="008A25B6"/>
    <w:rsid w:val="008E303F"/>
    <w:rsid w:val="008E7EE0"/>
    <w:rsid w:val="008F2B3D"/>
    <w:rsid w:val="00900143"/>
    <w:rsid w:val="009058BB"/>
    <w:rsid w:val="009217C0"/>
    <w:rsid w:val="00923D20"/>
    <w:rsid w:val="0092753E"/>
    <w:rsid w:val="0093357C"/>
    <w:rsid w:val="0095333A"/>
    <w:rsid w:val="009717C4"/>
    <w:rsid w:val="009B4A4E"/>
    <w:rsid w:val="009C1CE4"/>
    <w:rsid w:val="00A34379"/>
    <w:rsid w:val="00A622B6"/>
    <w:rsid w:val="00A720DC"/>
    <w:rsid w:val="00A74D45"/>
    <w:rsid w:val="00AA683F"/>
    <w:rsid w:val="00AD5356"/>
    <w:rsid w:val="00AD74ED"/>
    <w:rsid w:val="00AF0FE6"/>
    <w:rsid w:val="00B560A9"/>
    <w:rsid w:val="00B566E0"/>
    <w:rsid w:val="00BB278A"/>
    <w:rsid w:val="00BD4221"/>
    <w:rsid w:val="00BF7DF8"/>
    <w:rsid w:val="00C24A3D"/>
    <w:rsid w:val="00C4475F"/>
    <w:rsid w:val="00C54A47"/>
    <w:rsid w:val="00C768A0"/>
    <w:rsid w:val="00C9207D"/>
    <w:rsid w:val="00C9343E"/>
    <w:rsid w:val="00CB5558"/>
    <w:rsid w:val="00CD7F52"/>
    <w:rsid w:val="00D065F2"/>
    <w:rsid w:val="00D101C2"/>
    <w:rsid w:val="00D13896"/>
    <w:rsid w:val="00D17DAB"/>
    <w:rsid w:val="00D21C06"/>
    <w:rsid w:val="00D46D17"/>
    <w:rsid w:val="00D5432D"/>
    <w:rsid w:val="00D603B3"/>
    <w:rsid w:val="00D76F60"/>
    <w:rsid w:val="00DC2974"/>
    <w:rsid w:val="00DD0AD3"/>
    <w:rsid w:val="00DE63AE"/>
    <w:rsid w:val="00E16F27"/>
    <w:rsid w:val="00E375FC"/>
    <w:rsid w:val="00E42A9B"/>
    <w:rsid w:val="00E45133"/>
    <w:rsid w:val="00E56CC5"/>
    <w:rsid w:val="00E665F1"/>
    <w:rsid w:val="00EA4D38"/>
    <w:rsid w:val="00EB7187"/>
    <w:rsid w:val="00EC0D0E"/>
    <w:rsid w:val="00EC3862"/>
    <w:rsid w:val="00EC6897"/>
    <w:rsid w:val="00EC7088"/>
    <w:rsid w:val="00ED76CD"/>
    <w:rsid w:val="00EE1B5E"/>
    <w:rsid w:val="00EF7C01"/>
    <w:rsid w:val="00F16FCB"/>
    <w:rsid w:val="00F1704D"/>
    <w:rsid w:val="00F212C8"/>
    <w:rsid w:val="00F77258"/>
    <w:rsid w:val="00FB127B"/>
    <w:rsid w:val="00FB6F7E"/>
    <w:rsid w:val="00FC1F34"/>
    <w:rsid w:val="00FE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39CC"/>
  <w15:chartTrackingRefBased/>
  <w15:docId w15:val="{F032707E-BA9B-482F-8824-5AEBA1E9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4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8BB"/>
    <w:pPr>
      <w:spacing w:after="0" w:line="240" w:lineRule="auto"/>
    </w:pPr>
  </w:style>
  <w:style w:type="paragraph" w:styleId="Header">
    <w:name w:val="header"/>
    <w:basedOn w:val="Normal"/>
    <w:link w:val="HeaderChar"/>
    <w:uiPriority w:val="99"/>
    <w:unhideWhenUsed/>
    <w:rsid w:val="00F16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CB"/>
  </w:style>
  <w:style w:type="paragraph" w:styleId="Footer">
    <w:name w:val="footer"/>
    <w:basedOn w:val="Normal"/>
    <w:link w:val="FooterChar"/>
    <w:uiPriority w:val="99"/>
    <w:unhideWhenUsed/>
    <w:rsid w:val="00F16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CB"/>
  </w:style>
  <w:style w:type="paragraph" w:styleId="FootnoteText">
    <w:name w:val="footnote text"/>
    <w:basedOn w:val="Normal"/>
    <w:link w:val="FootnoteTextChar"/>
    <w:uiPriority w:val="99"/>
    <w:semiHidden/>
    <w:unhideWhenUsed/>
    <w:rsid w:val="00791D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D66"/>
    <w:rPr>
      <w:sz w:val="20"/>
      <w:szCs w:val="20"/>
    </w:rPr>
  </w:style>
  <w:style w:type="character" w:styleId="FootnoteReference">
    <w:name w:val="footnote reference"/>
    <w:basedOn w:val="DefaultParagraphFont"/>
    <w:uiPriority w:val="99"/>
    <w:semiHidden/>
    <w:unhideWhenUsed/>
    <w:rsid w:val="00791D66"/>
    <w:rPr>
      <w:vertAlign w:val="superscript"/>
    </w:rPr>
  </w:style>
  <w:style w:type="paragraph" w:customStyle="1" w:styleId="BasicParagraph">
    <w:name w:val="[Basic Paragraph]"/>
    <w:basedOn w:val="Normal"/>
    <w:uiPriority w:val="99"/>
    <w:rsid w:val="00515ED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57329E"/>
    <w:rPr>
      <w:color w:val="0563C1" w:themeColor="hyperlink"/>
      <w:u w:val="single"/>
    </w:rPr>
  </w:style>
  <w:style w:type="paragraph" w:styleId="EndnoteText">
    <w:name w:val="endnote text"/>
    <w:basedOn w:val="Normal"/>
    <w:link w:val="EndnoteTextChar"/>
    <w:uiPriority w:val="99"/>
    <w:semiHidden/>
    <w:unhideWhenUsed/>
    <w:rsid w:val="009C1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CE4"/>
    <w:rPr>
      <w:sz w:val="20"/>
      <w:szCs w:val="20"/>
    </w:rPr>
  </w:style>
  <w:style w:type="character" w:styleId="EndnoteReference">
    <w:name w:val="endnote reference"/>
    <w:basedOn w:val="DefaultParagraphFont"/>
    <w:uiPriority w:val="99"/>
    <w:semiHidden/>
    <w:unhideWhenUsed/>
    <w:rsid w:val="009C1CE4"/>
    <w:rPr>
      <w:vertAlign w:val="superscript"/>
    </w:rPr>
  </w:style>
  <w:style w:type="character" w:customStyle="1" w:styleId="Heading1Char">
    <w:name w:val="Heading 1 Char"/>
    <w:basedOn w:val="DefaultParagraphFont"/>
    <w:link w:val="Heading1"/>
    <w:uiPriority w:val="9"/>
    <w:rsid w:val="000934B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E4C5E"/>
    <w:rPr>
      <w:color w:val="605E5C"/>
      <w:shd w:val="clear" w:color="auto" w:fill="E1DFDD"/>
    </w:rPr>
  </w:style>
  <w:style w:type="paragraph" w:styleId="ListParagraph">
    <w:name w:val="List Paragraph"/>
    <w:basedOn w:val="Normal"/>
    <w:uiPriority w:val="34"/>
    <w:qFormat/>
    <w:rsid w:val="00ED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opa/pr/attorney-general-jeff-sessions-rescinds-24-guidanc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4A28-4018-4C2D-8EAB-40D70467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Wilcher</dc:creator>
  <cp:keywords/>
  <dc:description/>
  <cp:lastModifiedBy>Shirley Wilcher</cp:lastModifiedBy>
  <cp:revision>2</cp:revision>
  <cp:lastPrinted>2018-07-12T15:18:00Z</cp:lastPrinted>
  <dcterms:created xsi:type="dcterms:W3CDTF">2018-07-17T16:16:00Z</dcterms:created>
  <dcterms:modified xsi:type="dcterms:W3CDTF">2018-07-17T16:16:00Z</dcterms:modified>
</cp:coreProperties>
</file>